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5CFB" w14:textId="1E37234B" w:rsidR="00FF4A58" w:rsidRPr="00164502" w:rsidRDefault="004A6C01" w:rsidP="00667F4D">
      <w:pPr>
        <w:spacing w:after="0" w:line="240" w:lineRule="auto"/>
        <w:jc w:val="center"/>
        <w:rPr>
          <w:rFonts w:eastAsia="Gulim" w:cs="Calibri"/>
          <w:b/>
          <w:spacing w:val="-10"/>
          <w:sz w:val="30"/>
          <w:szCs w:val="30"/>
        </w:rPr>
      </w:pPr>
      <w:r w:rsidRPr="004A6C01">
        <w:rPr>
          <w:rFonts w:eastAsia="Gulim" w:cs="Calibri"/>
          <w:b/>
          <w:spacing w:val="-10"/>
          <w:sz w:val="30"/>
          <w:szCs w:val="30"/>
        </w:rPr>
        <w:t xml:space="preserve">3D-printed microneedle-based electrochemical sensing devices for plant health </w:t>
      </w:r>
      <w:r>
        <w:rPr>
          <w:rFonts w:eastAsia="Gulim" w:cs="Calibri"/>
          <w:b/>
          <w:spacing w:val="-10"/>
          <w:sz w:val="30"/>
          <w:szCs w:val="30"/>
        </w:rPr>
        <w:t>assessment</w:t>
      </w:r>
    </w:p>
    <w:p w14:paraId="6192B4B7" w14:textId="77777777" w:rsidR="0005217F" w:rsidRPr="00362700" w:rsidRDefault="0005217F" w:rsidP="00B83CA0">
      <w:pPr>
        <w:pBdr>
          <w:top w:val="single" w:sz="4" w:space="1" w:color="auto"/>
          <w:bottom w:val="single" w:sz="4" w:space="1" w:color="auto"/>
        </w:pBdr>
        <w:spacing w:after="0" w:line="240" w:lineRule="auto"/>
        <w:jc w:val="both"/>
        <w:rPr>
          <w:rFonts w:eastAsia="Gulim" w:cs="Calibri"/>
          <w:b/>
          <w:sz w:val="6"/>
          <w:szCs w:val="6"/>
        </w:rPr>
      </w:pPr>
    </w:p>
    <w:p w14:paraId="542BBEC6" w14:textId="2B5341B6" w:rsidR="006F529F" w:rsidRPr="00882D6A" w:rsidRDefault="00882D6A" w:rsidP="00B83CA0">
      <w:pPr>
        <w:pBdr>
          <w:top w:val="single" w:sz="4" w:space="1" w:color="auto"/>
          <w:bottom w:val="single" w:sz="4" w:space="1" w:color="auto"/>
        </w:pBdr>
        <w:spacing w:after="0" w:line="240" w:lineRule="auto"/>
        <w:jc w:val="both"/>
        <w:rPr>
          <w:rFonts w:eastAsia="Gulim" w:cs="Calibri"/>
          <w:b/>
        </w:rPr>
      </w:pPr>
      <w:r w:rsidRPr="00882D6A">
        <w:rPr>
          <w:rFonts w:eastAsia="Gulim" w:cs="Calibri"/>
          <w:b/>
        </w:rPr>
        <w:t xml:space="preserve">Marc </w:t>
      </w:r>
      <w:proofErr w:type="spellStart"/>
      <w:r w:rsidRPr="00882D6A">
        <w:rPr>
          <w:rFonts w:eastAsia="Gulim" w:cs="Calibri"/>
          <w:b/>
        </w:rPr>
        <w:t>Parrilla</w:t>
      </w:r>
      <w:r w:rsidRPr="00882D6A">
        <w:rPr>
          <w:rFonts w:eastAsia="Gulim" w:cs="Calibri"/>
          <w:sz w:val="20"/>
          <w:szCs w:val="20"/>
          <w:vertAlign w:val="superscript"/>
        </w:rPr>
        <w:t>a</w:t>
      </w:r>
      <w:proofErr w:type="spellEnd"/>
    </w:p>
    <w:p w14:paraId="3F4C43CC" w14:textId="72E8843D" w:rsidR="00882D6A" w:rsidRPr="00882D6A" w:rsidRDefault="00882D6A" w:rsidP="00882D6A">
      <w:pPr>
        <w:pBdr>
          <w:top w:val="single" w:sz="4" w:space="1" w:color="auto"/>
          <w:bottom w:val="single" w:sz="4" w:space="1" w:color="auto"/>
        </w:pBdr>
        <w:spacing w:after="0" w:line="240" w:lineRule="auto"/>
        <w:jc w:val="both"/>
        <w:rPr>
          <w:rFonts w:eastAsia="Gulim" w:cs="Calibri"/>
          <w:sz w:val="20"/>
          <w:szCs w:val="20"/>
        </w:rPr>
      </w:pPr>
      <w:r w:rsidRPr="00882D6A">
        <w:rPr>
          <w:rFonts w:eastAsia="Gulim" w:cs="Calibri"/>
          <w:sz w:val="20"/>
          <w:szCs w:val="20"/>
        </w:rPr>
        <w:t>Amadeo Sena-</w:t>
      </w:r>
      <w:proofErr w:type="spellStart"/>
      <w:r w:rsidRPr="00882D6A">
        <w:rPr>
          <w:rFonts w:eastAsia="Gulim" w:cs="Calibri"/>
          <w:sz w:val="20"/>
          <w:szCs w:val="20"/>
        </w:rPr>
        <w:t>Torralba</w:t>
      </w:r>
      <w:r w:rsidRPr="00882D6A">
        <w:rPr>
          <w:rFonts w:eastAsia="Gulim" w:cs="Calibri"/>
          <w:sz w:val="20"/>
          <w:szCs w:val="20"/>
        </w:rPr>
        <w:t>,</w:t>
      </w:r>
      <w:r w:rsidRPr="00882D6A">
        <w:rPr>
          <w:rFonts w:eastAsia="Gulim" w:cs="Calibri"/>
          <w:sz w:val="20"/>
          <w:szCs w:val="20"/>
          <w:vertAlign w:val="superscript"/>
        </w:rPr>
        <w:t>a</w:t>
      </w:r>
      <w:r w:rsidRPr="00882D6A">
        <w:rPr>
          <w:rFonts w:eastAsia="Gulim" w:cs="Calibri"/>
          <w:sz w:val="20"/>
          <w:szCs w:val="20"/>
          <w:vertAlign w:val="superscript"/>
        </w:rPr>
        <w:t>,</w:t>
      </w:r>
      <w:r>
        <w:rPr>
          <w:rFonts w:eastAsia="Gulim" w:cs="Calibri"/>
          <w:sz w:val="20"/>
          <w:szCs w:val="20"/>
          <w:vertAlign w:val="superscript"/>
        </w:rPr>
        <w:t>b</w:t>
      </w:r>
      <w:proofErr w:type="spellEnd"/>
      <w:r w:rsidRPr="00882D6A">
        <w:rPr>
          <w:rFonts w:eastAsia="Gulim" w:cs="Calibri"/>
          <w:sz w:val="20"/>
          <w:szCs w:val="20"/>
        </w:rPr>
        <w:t xml:space="preserve"> </w:t>
      </w:r>
      <w:r w:rsidRPr="00882D6A">
        <w:rPr>
          <w:rFonts w:eastAsia="Gulim" w:cs="Calibri"/>
          <w:sz w:val="20"/>
          <w:szCs w:val="20"/>
        </w:rPr>
        <w:t xml:space="preserve">Annemarijn </w:t>
      </w:r>
      <w:proofErr w:type="spellStart"/>
      <w:r w:rsidRPr="00882D6A">
        <w:rPr>
          <w:rFonts w:eastAsia="Gulim" w:cs="Calibri"/>
          <w:sz w:val="20"/>
          <w:szCs w:val="20"/>
        </w:rPr>
        <w:t>Steijlen</w:t>
      </w:r>
      <w:r w:rsidRPr="00882D6A">
        <w:rPr>
          <w:rFonts w:eastAsia="Gulim" w:cs="Calibri"/>
          <w:sz w:val="20"/>
          <w:szCs w:val="20"/>
        </w:rPr>
        <w:t>,</w:t>
      </w:r>
      <w:r w:rsidRPr="00882D6A">
        <w:rPr>
          <w:rFonts w:eastAsia="Gulim" w:cs="Calibri"/>
          <w:sz w:val="20"/>
          <w:szCs w:val="20"/>
          <w:vertAlign w:val="superscript"/>
        </w:rPr>
        <w:t>a</w:t>
      </w:r>
      <w:proofErr w:type="spellEnd"/>
      <w:r w:rsidRPr="00882D6A">
        <w:rPr>
          <w:rFonts w:eastAsia="Gulim" w:cs="Calibri"/>
          <w:sz w:val="20"/>
          <w:szCs w:val="20"/>
        </w:rPr>
        <w:t xml:space="preserve"> Sergi </w:t>
      </w:r>
      <w:proofErr w:type="spellStart"/>
      <w:r w:rsidRPr="00882D6A">
        <w:rPr>
          <w:rFonts w:eastAsia="Gulim" w:cs="Calibri"/>
          <w:sz w:val="20"/>
          <w:szCs w:val="20"/>
        </w:rPr>
        <w:t>Morais</w:t>
      </w:r>
      <w:r w:rsidRPr="00882D6A">
        <w:rPr>
          <w:rFonts w:eastAsia="Gulim" w:cs="Calibri"/>
          <w:sz w:val="20"/>
          <w:szCs w:val="20"/>
        </w:rPr>
        <w:t>,</w:t>
      </w:r>
      <w:r w:rsidRPr="00882D6A">
        <w:rPr>
          <w:rFonts w:eastAsia="Gulim" w:cs="Calibri"/>
          <w:sz w:val="20"/>
          <w:szCs w:val="20"/>
          <w:vertAlign w:val="superscript"/>
        </w:rPr>
        <w:t>b</w:t>
      </w:r>
      <w:proofErr w:type="spellEnd"/>
      <w:r>
        <w:rPr>
          <w:rFonts w:eastAsia="Gulim" w:cs="Calibri"/>
          <w:sz w:val="20"/>
          <w:szCs w:val="20"/>
          <w:vertAlign w:val="superscript"/>
        </w:rPr>
        <w:t xml:space="preserve"> </w:t>
      </w:r>
      <w:r w:rsidRPr="00882D6A">
        <w:rPr>
          <w:rFonts w:eastAsia="Gulim" w:cs="Calibri"/>
          <w:sz w:val="20"/>
          <w:szCs w:val="20"/>
        </w:rPr>
        <w:t xml:space="preserve">Angel </w:t>
      </w:r>
      <w:proofErr w:type="spellStart"/>
      <w:r w:rsidRPr="00882D6A">
        <w:rPr>
          <w:rFonts w:eastAsia="Gulim" w:cs="Calibri"/>
          <w:sz w:val="20"/>
          <w:szCs w:val="20"/>
        </w:rPr>
        <w:t>Maquieira</w:t>
      </w:r>
      <w:r w:rsidRPr="00882D6A">
        <w:rPr>
          <w:rFonts w:eastAsia="Gulim" w:cs="Calibri"/>
          <w:sz w:val="20"/>
          <w:szCs w:val="20"/>
        </w:rPr>
        <w:t>,</w:t>
      </w:r>
      <w:r w:rsidRPr="00882D6A">
        <w:rPr>
          <w:rFonts w:eastAsia="Gulim" w:cs="Calibri"/>
          <w:sz w:val="20"/>
          <w:szCs w:val="20"/>
          <w:vertAlign w:val="superscript"/>
        </w:rPr>
        <w:t>b</w:t>
      </w:r>
      <w:proofErr w:type="spellEnd"/>
      <w:r w:rsidRPr="00882D6A">
        <w:rPr>
          <w:rFonts w:eastAsia="Gulim" w:cs="Calibri"/>
          <w:sz w:val="20"/>
          <w:szCs w:val="20"/>
        </w:rPr>
        <w:t xml:space="preserve"> </w:t>
      </w:r>
      <w:r w:rsidRPr="00882D6A">
        <w:rPr>
          <w:rFonts w:eastAsia="Gulim" w:cs="Calibri"/>
          <w:sz w:val="20"/>
          <w:szCs w:val="20"/>
        </w:rPr>
        <w:t xml:space="preserve">Karolien De </w:t>
      </w:r>
      <w:proofErr w:type="spellStart"/>
      <w:r w:rsidRPr="00882D6A">
        <w:rPr>
          <w:rFonts w:eastAsia="Gulim" w:cs="Calibri"/>
          <w:sz w:val="20"/>
          <w:szCs w:val="20"/>
        </w:rPr>
        <w:t>Wael</w:t>
      </w:r>
      <w:r>
        <w:rPr>
          <w:rFonts w:eastAsia="Gulim" w:cs="Calibri"/>
          <w:sz w:val="20"/>
          <w:szCs w:val="20"/>
          <w:vertAlign w:val="superscript"/>
        </w:rPr>
        <w:t>a</w:t>
      </w:r>
      <w:proofErr w:type="spellEnd"/>
    </w:p>
    <w:p w14:paraId="248A7D55" w14:textId="6998D2E7" w:rsidR="007A685C" w:rsidRDefault="00882D6A" w:rsidP="00882D6A">
      <w:pPr>
        <w:pBdr>
          <w:top w:val="single" w:sz="4" w:space="1" w:color="auto"/>
          <w:bottom w:val="single" w:sz="4" w:space="1" w:color="auto"/>
        </w:pBdr>
        <w:spacing w:after="0" w:line="240" w:lineRule="auto"/>
        <w:jc w:val="both"/>
        <w:rPr>
          <w:rFonts w:eastAsia="Gulim" w:cs="Calibri"/>
          <w:sz w:val="20"/>
          <w:szCs w:val="20"/>
          <w:lang w:val="es-ES"/>
        </w:rPr>
      </w:pPr>
      <w:r w:rsidRPr="007A685C">
        <w:rPr>
          <w:rFonts w:eastAsia="Gulim" w:cs="Calibri"/>
          <w:sz w:val="20"/>
          <w:szCs w:val="20"/>
          <w:vertAlign w:val="superscript"/>
          <w:lang w:val="es-ES"/>
        </w:rPr>
        <w:t>a</w:t>
      </w:r>
      <w:r w:rsidRPr="007A685C">
        <w:rPr>
          <w:rFonts w:eastAsia="Gulim" w:cs="Calibri"/>
          <w:sz w:val="20"/>
          <w:szCs w:val="20"/>
          <w:lang w:val="es-ES"/>
        </w:rPr>
        <w:t>A-</w:t>
      </w:r>
      <w:proofErr w:type="spellStart"/>
      <w:r w:rsidRPr="007A685C">
        <w:rPr>
          <w:rFonts w:eastAsia="Gulim" w:cs="Calibri"/>
          <w:sz w:val="20"/>
          <w:szCs w:val="20"/>
          <w:lang w:val="es-ES"/>
        </w:rPr>
        <w:t>Sense</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Lab</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University</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of</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Antwerp</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Groenenborgerlaan</w:t>
      </w:r>
      <w:proofErr w:type="spellEnd"/>
      <w:r w:rsidRPr="007A685C">
        <w:rPr>
          <w:rFonts w:eastAsia="Gulim" w:cs="Calibri"/>
          <w:sz w:val="20"/>
          <w:szCs w:val="20"/>
          <w:lang w:val="es-ES"/>
        </w:rPr>
        <w:t xml:space="preserve"> 171, 2010, </w:t>
      </w:r>
      <w:proofErr w:type="spellStart"/>
      <w:r w:rsidRPr="007A685C">
        <w:rPr>
          <w:rFonts w:eastAsia="Gulim" w:cs="Calibri"/>
          <w:sz w:val="20"/>
          <w:szCs w:val="20"/>
          <w:lang w:val="es-ES"/>
        </w:rPr>
        <w:t>Antwerp</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Belgium</w:t>
      </w:r>
      <w:proofErr w:type="spellEnd"/>
      <w:r w:rsidRPr="007A685C">
        <w:rPr>
          <w:rFonts w:eastAsia="Gulim" w:cs="Calibri"/>
          <w:sz w:val="20"/>
          <w:szCs w:val="20"/>
          <w:lang w:val="es-ES"/>
        </w:rPr>
        <w:t xml:space="preserve"> Instituto Interuniversitario de </w:t>
      </w:r>
      <w:proofErr w:type="spellStart"/>
      <w:r w:rsidR="007A685C" w:rsidRPr="007A685C">
        <w:rPr>
          <w:rFonts w:eastAsia="Gulim" w:cs="Calibri"/>
          <w:sz w:val="20"/>
          <w:szCs w:val="20"/>
          <w:vertAlign w:val="superscript"/>
          <w:lang w:val="es-ES"/>
        </w:rPr>
        <w:t>b</w:t>
      </w:r>
      <w:r w:rsidRPr="007A685C">
        <w:rPr>
          <w:rFonts w:eastAsia="Gulim" w:cs="Calibri"/>
          <w:sz w:val="20"/>
          <w:szCs w:val="20"/>
          <w:lang w:val="es-ES"/>
        </w:rPr>
        <w:t>Investigacion</w:t>
      </w:r>
      <w:proofErr w:type="spellEnd"/>
      <w:r w:rsidRPr="007A685C">
        <w:rPr>
          <w:rFonts w:eastAsia="Gulim" w:cs="Calibri"/>
          <w:sz w:val="20"/>
          <w:szCs w:val="20"/>
          <w:lang w:val="es-ES"/>
        </w:rPr>
        <w:t xml:space="preserve"> de Reconocimiento Molecular y Desarrollo </w:t>
      </w:r>
      <w:proofErr w:type="spellStart"/>
      <w:r w:rsidRPr="007A685C">
        <w:rPr>
          <w:rFonts w:eastAsia="Gulim" w:cs="Calibri"/>
          <w:sz w:val="20"/>
          <w:szCs w:val="20"/>
          <w:lang w:val="es-ES"/>
        </w:rPr>
        <w:t>Tecnologico</w:t>
      </w:r>
      <w:proofErr w:type="spellEnd"/>
      <w:r w:rsidRPr="007A685C">
        <w:rPr>
          <w:rFonts w:eastAsia="Gulim" w:cs="Calibri"/>
          <w:sz w:val="20"/>
          <w:szCs w:val="20"/>
          <w:lang w:val="es-ES"/>
        </w:rPr>
        <w:t xml:space="preserve"> (IDM), </w:t>
      </w:r>
      <w:proofErr w:type="spellStart"/>
      <w:r w:rsidRPr="007A685C">
        <w:rPr>
          <w:rFonts w:eastAsia="Gulim" w:cs="Calibri"/>
          <w:sz w:val="20"/>
          <w:szCs w:val="20"/>
          <w:lang w:val="es-ES"/>
        </w:rPr>
        <w:t>Universitat</w:t>
      </w:r>
      <w:proofErr w:type="spellEnd"/>
      <w:r w:rsidRPr="007A685C">
        <w:rPr>
          <w:rFonts w:eastAsia="Gulim" w:cs="Calibri"/>
          <w:sz w:val="20"/>
          <w:szCs w:val="20"/>
          <w:lang w:val="es-ES"/>
        </w:rPr>
        <w:t xml:space="preserve"> </w:t>
      </w:r>
      <w:proofErr w:type="spellStart"/>
      <w:r w:rsidRPr="007A685C">
        <w:rPr>
          <w:rFonts w:eastAsia="Gulim" w:cs="Calibri"/>
          <w:sz w:val="20"/>
          <w:szCs w:val="20"/>
          <w:lang w:val="es-ES"/>
        </w:rPr>
        <w:t>Politecnica</w:t>
      </w:r>
      <w:proofErr w:type="spellEnd"/>
      <w:r w:rsidRPr="007A685C">
        <w:rPr>
          <w:rFonts w:eastAsia="Gulim" w:cs="Calibri"/>
          <w:sz w:val="20"/>
          <w:szCs w:val="20"/>
          <w:lang w:val="es-ES"/>
        </w:rPr>
        <w:t xml:space="preserve"> de Valencia, </w:t>
      </w:r>
      <w:proofErr w:type="spellStart"/>
      <w:r w:rsidRPr="007A685C">
        <w:rPr>
          <w:rFonts w:eastAsia="Gulim" w:cs="Calibri"/>
          <w:sz w:val="20"/>
          <w:szCs w:val="20"/>
          <w:lang w:val="es-ES"/>
        </w:rPr>
        <w:t>Universitat</w:t>
      </w:r>
      <w:proofErr w:type="spellEnd"/>
      <w:r w:rsidRPr="007A685C">
        <w:rPr>
          <w:rFonts w:eastAsia="Gulim" w:cs="Calibri"/>
          <w:sz w:val="20"/>
          <w:szCs w:val="20"/>
          <w:lang w:val="es-ES"/>
        </w:rPr>
        <w:t xml:space="preserve"> de Valencia,</w:t>
      </w:r>
      <w:r w:rsidR="007A685C">
        <w:rPr>
          <w:rFonts w:eastAsia="Gulim" w:cs="Calibri"/>
          <w:sz w:val="20"/>
          <w:szCs w:val="20"/>
          <w:lang w:val="es-ES"/>
        </w:rPr>
        <w:t xml:space="preserve"> </w:t>
      </w:r>
      <w:r w:rsidRPr="00882D6A">
        <w:rPr>
          <w:rFonts w:eastAsia="Gulim" w:cs="Calibri"/>
          <w:sz w:val="20"/>
          <w:szCs w:val="20"/>
          <w:lang w:val="es-ES"/>
        </w:rPr>
        <w:t xml:space="preserve">Camino de Vera S/n, 46022, Valencia, </w:t>
      </w:r>
      <w:proofErr w:type="spellStart"/>
      <w:r w:rsidRPr="00882D6A">
        <w:rPr>
          <w:rFonts w:eastAsia="Gulim" w:cs="Calibri"/>
          <w:sz w:val="20"/>
          <w:szCs w:val="20"/>
          <w:lang w:val="es-ES"/>
        </w:rPr>
        <w:t>Spain</w:t>
      </w:r>
      <w:proofErr w:type="spellEnd"/>
    </w:p>
    <w:p w14:paraId="560F268E" w14:textId="5C9A157C" w:rsidR="008F67DF" w:rsidRPr="00882D6A" w:rsidRDefault="007A685C" w:rsidP="00882D6A">
      <w:pPr>
        <w:pBdr>
          <w:top w:val="single" w:sz="4" w:space="1" w:color="auto"/>
          <w:bottom w:val="single" w:sz="4" w:space="1" w:color="auto"/>
        </w:pBdr>
        <w:spacing w:after="0" w:line="240" w:lineRule="auto"/>
        <w:jc w:val="both"/>
        <w:rPr>
          <w:rFonts w:eastAsia="Gulim" w:cs="Calibri"/>
          <w:color w:val="4F81BD"/>
          <w:sz w:val="20"/>
          <w:szCs w:val="20"/>
          <w:lang w:val="es-ES"/>
        </w:rPr>
      </w:pPr>
      <w:r>
        <w:rPr>
          <w:rFonts w:eastAsia="Gulim" w:cs="Calibri"/>
          <w:color w:val="4F81BD"/>
          <w:sz w:val="20"/>
          <w:szCs w:val="20"/>
          <w:lang w:val="es-ES"/>
        </w:rPr>
        <w:t>marc.parrillapons</w:t>
      </w:r>
      <w:r w:rsidR="0007172E" w:rsidRPr="00882D6A">
        <w:rPr>
          <w:rFonts w:eastAsia="Gulim" w:cs="Calibri"/>
          <w:color w:val="4F81BD"/>
          <w:sz w:val="20"/>
          <w:szCs w:val="20"/>
          <w:lang w:val="es-ES"/>
        </w:rPr>
        <w:t>@</w:t>
      </w:r>
      <w:r>
        <w:rPr>
          <w:rFonts w:eastAsia="Gulim" w:cs="Calibri"/>
          <w:color w:val="4F81BD"/>
          <w:sz w:val="20"/>
          <w:szCs w:val="20"/>
          <w:lang w:val="es-ES"/>
        </w:rPr>
        <w:t>uantwerpen.be</w:t>
      </w:r>
    </w:p>
    <w:p w14:paraId="1E470575" w14:textId="77777777" w:rsidR="008F67DF" w:rsidRPr="00362700" w:rsidRDefault="008F67DF" w:rsidP="00B83CA0">
      <w:pPr>
        <w:pBdr>
          <w:top w:val="single" w:sz="4" w:space="1" w:color="auto"/>
          <w:bottom w:val="single" w:sz="4" w:space="1" w:color="auto"/>
        </w:pBdr>
        <w:spacing w:after="0" w:line="240" w:lineRule="auto"/>
        <w:jc w:val="both"/>
        <w:rPr>
          <w:rFonts w:eastAsia="Gulim" w:cs="Calibri"/>
          <w:sz w:val="8"/>
          <w:szCs w:val="8"/>
          <w:lang w:val="es-ES"/>
        </w:rPr>
      </w:pPr>
    </w:p>
    <w:p w14:paraId="25A91440" w14:textId="77777777" w:rsidR="00735211" w:rsidRPr="00882D6A" w:rsidRDefault="00735211" w:rsidP="00B83CA0">
      <w:pPr>
        <w:spacing w:after="0" w:line="240" w:lineRule="auto"/>
        <w:jc w:val="both"/>
        <w:rPr>
          <w:rFonts w:eastAsia="Gulim" w:cs="Calibri"/>
          <w:b/>
          <w:sz w:val="20"/>
          <w:szCs w:val="20"/>
          <w:lang w:val="es-ES"/>
        </w:rPr>
      </w:pPr>
    </w:p>
    <w:p w14:paraId="0C756BBB" w14:textId="1F90E0A8" w:rsidR="00882D6A" w:rsidRPr="00882D6A" w:rsidRDefault="00882D6A" w:rsidP="00882D6A">
      <w:pPr>
        <w:jc w:val="both"/>
        <w:rPr>
          <w:sz w:val="24"/>
          <w:szCs w:val="24"/>
        </w:rPr>
      </w:pPr>
      <w:r w:rsidRPr="00882D6A">
        <w:rPr>
          <w:sz w:val="24"/>
          <w:szCs w:val="24"/>
        </w:rPr>
        <w:t xml:space="preserve">Plant health monitoring is devised as a new concept to unravel real-time physiological processes such as plant stress </w:t>
      </w:r>
      <w:proofErr w:type="spellStart"/>
      <w:r w:rsidRPr="00882D6A">
        <w:rPr>
          <w:sz w:val="24"/>
          <w:szCs w:val="24"/>
        </w:rPr>
        <w:t>signaling</w:t>
      </w:r>
      <w:proofErr w:type="spellEnd"/>
      <w:r w:rsidRPr="00882D6A">
        <w:rPr>
          <w:sz w:val="24"/>
          <w:szCs w:val="24"/>
        </w:rPr>
        <w:t xml:space="preserve"> </w:t>
      </w:r>
      <w:r w:rsidRPr="00882D6A">
        <w:rPr>
          <w:sz w:val="24"/>
          <w:szCs w:val="24"/>
        </w:rPr>
        <w:fldChar w:fldCharType="begin" w:fldLock="1"/>
      </w:r>
      <w:r w:rsidRPr="00882D6A">
        <w:rPr>
          <w:sz w:val="24"/>
          <w:szCs w:val="24"/>
        </w:rPr>
        <w:instrText>ADDIN CSL_CITATION {"citationItems":[{"id":"ITEM-1","itemData":{"DOI":"10.1038/s41570-022-00443-0","ISBN":"4157002200443","ISSN":"2397-3358","abstract":"Time is an often-neglected variable in biological research. Plants respond to biotic and abiotic stressors with a range of chemical signals, but as plants are non-equilibrium systems, single-point measurements often cannot provide sufficient temporal resolution to capture these time-dependent signals. In this article, we critically review the advances in continuous monitoring of chemical signals in living plants under stress. We discuss methods for sustained measurement of the most important chemical species, including ions, organic molecules, inorganic molecules and radicals. We examine analytical and modelling approaches currently used to identify and predict stress in plants. We also explore how the methods discussed can be used for applications beyond a research laboratory, in agricultural settings. Finally, we present the current challenges and future perspectives for the continuous monitoring of chemical signals in plants. [Figure not available: see fulltext.]","author":[{"dropping-particle":"","family":"Coatsworth","given":"Philip","non-dropping-particle":"","parse-names":false,"suffix":""},{"dropping-particle":"","family":"Gonzalez-Macia","given":"Laura","non-dropping-particle":"","parse-names":false,"suffix":""},{"dropping-particle":"","family":"Collins","given":"Alexander Silva Pinto","non-dropping-particle":"","parse-names":false,"suffix":""},{"dropping-particle":"","family":"Bozkurt","given":"Tolga","non-dropping-particle":"","parse-names":false,"suffix":""},{"dropping-particle":"","family":"Güder","given":"Firat","non-dropping-particle":"","parse-names":false,"suffix":""}],"container-title":"Nature Reviews Chemistry","id":"ITEM-1","issue":"1","issued":{"date-parts":[["2022","12","12"]]},"page":"7-25","title":"Continuous monitoring of chemical signals in plants under stress","type":"article-journal","volume":"7"},"uris":["http://www.mendeley.com/documents/?uuid=c3fa14d4-d5e8-41eb-abae-94cc79cae451"]}],"mendeley":{"formattedCitation":"[1]","plainTextFormattedCitation":"[1]","previouslyFormattedCitation":"[1]"},"properties":{"noteIndex":0},"schema":"https://github.com/citation-style-language/schema/raw/master/csl-citation.json"}</w:instrText>
      </w:r>
      <w:r w:rsidRPr="00882D6A">
        <w:rPr>
          <w:sz w:val="24"/>
          <w:szCs w:val="24"/>
        </w:rPr>
        <w:fldChar w:fldCharType="separate"/>
      </w:r>
      <w:r w:rsidRPr="00882D6A">
        <w:rPr>
          <w:noProof/>
          <w:sz w:val="24"/>
          <w:szCs w:val="24"/>
        </w:rPr>
        <w:t>[1]</w:t>
      </w:r>
      <w:r w:rsidRPr="00882D6A">
        <w:rPr>
          <w:sz w:val="24"/>
          <w:szCs w:val="24"/>
        </w:rPr>
        <w:fldChar w:fldCharType="end"/>
      </w:r>
      <w:r w:rsidRPr="00882D6A">
        <w:rPr>
          <w:sz w:val="24"/>
          <w:szCs w:val="24"/>
        </w:rPr>
        <w:t xml:space="preserve">. The need for an increasing food supply due to an increment in the worldwide population does not match the dramatic effects of climate change, which hinders crop health and increases plant stress. Therefore, plant stress scavengers such as wearable sensors could play a role in controlling crop health and adaptation to new climates </w:t>
      </w:r>
      <w:r w:rsidRPr="00882D6A">
        <w:rPr>
          <w:sz w:val="24"/>
          <w:szCs w:val="24"/>
        </w:rPr>
        <w:fldChar w:fldCharType="begin" w:fldLock="1"/>
      </w:r>
      <w:r w:rsidRPr="00882D6A">
        <w:rPr>
          <w:sz w:val="24"/>
          <w:szCs w:val="24"/>
        </w:rPr>
        <w:instrText>ADDIN CSL_CITATION {"citationItems":[{"id":"ITEM-1","itemData":{"DOI":"10.1016/j.bios.2022.115005","ISSN":"18734235","abstract":"The devastating effects of global climate change on crop production and exponential population growth pose a major challenge to agricultural yields. To cope with this problem, crop performance monitoring is becoming increasingly necessary. In this scenario, the use of sensors and biosensors capable of detecting changes in plant fitness and predicting the evolution of their morphology and physiology has proven to be a useful strategy to increase crop yields. Flexible sensors and nanomaterials have inspired the emerging fields of wearable and on-plant portable devices that provide continuous and accurate long-term sensing of morphological, physiological, biochemical, and environmental parameters. This review provides an overview of novel plant sensing technologies by discussing wearable and integrated devices proposed for engineering plant and monitoring its morphological traits and physiological processes, as well as plant-environment interactions. For each application scenario, the state-of-the-art sensing solutions are grouped according to the plant organ on which they have been installed highlighting their main technological advantages and features. Finally, future opportunities, challenges and perspectives are discussed. We anticipate that the application of this technology in agriculture will provide more accurate measurements for farmers and plant scientists with the ability to track crop performance in real time. All of this information will be essential to enable rapid optimization of plants development through tailored treatments that improve overall plant health even under stressful conditions, with the ultimate goal of increasing crop productivity in a more sustainable manner.","author":[{"dropping-particle":"","family":"Presti","given":"Daniela","non-dropping-particle":"Lo","parse-names":false,"suffix":""},{"dropping-particle":"","family":"Tocco","given":"Joshua","non-dropping-particle":"Di","parse-names":false,"suffix":""},{"dropping-particle":"","family":"Massaroni","given":"Carlo","non-dropping-particle":"","parse-names":false,"suffix":""},{"dropping-particle":"","family":"Cimini","given":"Sara","non-dropping-particle":"","parse-names":false,"suffix":""},{"dropping-particle":"","family":"Gara","given":"Laura","non-dropping-particle":"De","parse-names":false,"suffix":""},{"dropping-particle":"","family":"Singh","given":"Sima","non-dropping-particle":"","parse-names":false,"suffix":""},{"dropping-particle":"","family":"Raucci","given":"Ada","non-dropping-particle":"","parse-names":false,"suffix":""},{"dropping-particle":"","family":"Manganiello","given":"Gelsomina","non-dropping-particle":"","parse-names":false,"suffix":""},{"dropping-particle":"","family":"Woo","given":"Sheridan L.","non-dropping-particle":"","parse-names":false,"suffix":""},{"dropping-particle":"","family":"Schena","given":"Emiliano","non-dropping-particle":"","parse-names":false,"suffix":""},{"dropping-particle":"","family":"Cinti","given":"Stefano","non-dropping-particle":"","parse-names":false,"suffix":""}],"container-title":"Biosensors and Bioelectronics","id":"ITEM-1","issue":"December 2022","issued":{"date-parts":[["2023"]]},"page":"115005","publisher":"Elsevier B.V.","title":"Current understanding, challenges and perspective on portable systems applied to plant monitoring and precision agriculture","type":"article-journal","volume":"222"},"uris":["http://www.mendeley.com/documents/?uuid=71836e92-f979-4a9b-8ca3-3923ac4d2c1d"]}],"mendeley":{"formattedCitation":"[2]","plainTextFormattedCitation":"[2]","previouslyFormattedCitation":"[2]"},"properties":{"noteIndex":0},"schema":"https://github.com/citation-style-language/schema/raw/master/csl-citation.json"}</w:instrText>
      </w:r>
      <w:r w:rsidRPr="00882D6A">
        <w:rPr>
          <w:sz w:val="24"/>
          <w:szCs w:val="24"/>
        </w:rPr>
        <w:fldChar w:fldCharType="separate"/>
      </w:r>
      <w:r w:rsidRPr="00882D6A">
        <w:rPr>
          <w:noProof/>
          <w:sz w:val="24"/>
          <w:szCs w:val="24"/>
        </w:rPr>
        <w:t>[2]</w:t>
      </w:r>
      <w:r w:rsidRPr="00882D6A">
        <w:rPr>
          <w:sz w:val="24"/>
          <w:szCs w:val="24"/>
        </w:rPr>
        <w:fldChar w:fldCharType="end"/>
      </w:r>
      <w:r w:rsidRPr="00882D6A">
        <w:rPr>
          <w:sz w:val="24"/>
          <w:szCs w:val="24"/>
        </w:rPr>
        <w:t>. However, affordable sensing devices need to be developed to bring smart sensors into the field. Herein, we propose a technological platform based on a low-cost 3D-printed hollow microneedle array patch (HMA) as a sampling device coupled with biosensors based on screen-printed technology to develop affordable smart sensors for in situ plant analysis</w:t>
      </w:r>
      <w:r w:rsidR="007A685C">
        <w:rPr>
          <w:sz w:val="24"/>
          <w:szCs w:val="24"/>
        </w:rPr>
        <w:t xml:space="preserve"> </w:t>
      </w:r>
      <w:r w:rsidR="007A685C">
        <w:rPr>
          <w:sz w:val="24"/>
          <w:szCs w:val="24"/>
        </w:rPr>
        <w:fldChar w:fldCharType="begin" w:fldLock="1"/>
      </w:r>
      <w:r w:rsidR="007A685C">
        <w:rPr>
          <w:sz w:val="24"/>
          <w:szCs w:val="24"/>
        </w:rPr>
        <w:instrText>ADDIN CSL_CITATION {"citationItems":[{"id":"ITEM-1","itemData":{"DOI":"10.1016/j.bios.2024.116131","ISSN":"09565663","author":[{"dropping-particle":"","family":"Parrilla","given":"Marc","non-dropping-particle":"","parse-names":false,"suffix":""},{"dropping-particle":"","family":"Sena-Torralba","given":"Amadeo","non-dropping-particle":"","parse-names":false,"suffix":""},{"dropping-particle":"","family":"Steijlen","given":"Annemarijn","non-dropping-particle":"","parse-names":false,"suffix":""},{"dropping-particle":"","family":"Morais","given":"Sergi","non-dropping-particle":"","parse-names":false,"suffix":""},{"dropping-particle":"","family":"Maquieira","given":"Ángel","non-dropping-particle":"","parse-names":false,"suffix":""},{"dropping-particle":"","family":"Wael","given":"Karolien","non-dropping-particle":"De","parse-names":false,"suffix":""}],"container-title":"Biosensors and Bioelectronics","id":"ITEM-1","issued":{"date-parts":[["2024","5"]]},"page":"116131","title":"A 3D-printed hollow microneedle-based electrochemical sensing device for in situ plant health monitoring","type":"article-journal","volume":"251"},"uris":["http://www.mendeley.com/documents/?uuid=f600bc22-35c3-43d5-b86c-1306ba1594fc"]}],"mendeley":{"formattedCitation":"[3]","plainTextFormattedCitation":"[3]"},"properties":{"noteIndex":0},"schema":"https://github.com/citation-style-language/schema/raw/master/csl-citation.json"}</w:instrText>
      </w:r>
      <w:r w:rsidR="007A685C">
        <w:rPr>
          <w:sz w:val="24"/>
          <w:szCs w:val="24"/>
        </w:rPr>
        <w:fldChar w:fldCharType="separate"/>
      </w:r>
      <w:r w:rsidR="007A685C" w:rsidRPr="007A685C">
        <w:rPr>
          <w:noProof/>
          <w:sz w:val="24"/>
          <w:szCs w:val="24"/>
        </w:rPr>
        <w:t>[3]</w:t>
      </w:r>
      <w:r w:rsidR="007A685C">
        <w:rPr>
          <w:sz w:val="24"/>
          <w:szCs w:val="24"/>
        </w:rPr>
        <w:fldChar w:fldCharType="end"/>
      </w:r>
      <w:r w:rsidR="007A685C">
        <w:rPr>
          <w:sz w:val="24"/>
          <w:szCs w:val="24"/>
        </w:rPr>
        <w:t>.</w:t>
      </w:r>
      <w:r w:rsidRPr="00882D6A">
        <w:rPr>
          <w:sz w:val="24"/>
          <w:szCs w:val="24"/>
        </w:rPr>
        <w:t xml:space="preserve"> First, an optimization of the 3D-printing method showed for the first time a tip diameter of 25.9±3.7 µm using a 3D printer (&lt;500 EUR) based on stereolithography. Notably, the HMA withstands the forces exerted by thumb pressing (i.e. 20-40 N) needed for a proper insertion. Subsequently, the holes of the HMA enabled up to 15 µl of fluid extraction tested in vivo in plant leaves. Importantly, a paper-based sampling strategy adapted to the HMA allowed the collection of plant fluid in leaves. Finally, integrating the sampling device onto biosensors facilitates the in situ electrochemical analysis of plant health biomarkers (i.e., H</w:t>
      </w:r>
      <w:r w:rsidRPr="00882D6A">
        <w:rPr>
          <w:sz w:val="24"/>
          <w:szCs w:val="24"/>
          <w:vertAlign w:val="subscript"/>
        </w:rPr>
        <w:t>2</w:t>
      </w:r>
      <w:r w:rsidRPr="00882D6A">
        <w:rPr>
          <w:sz w:val="24"/>
          <w:szCs w:val="24"/>
        </w:rPr>
        <w:t>O</w:t>
      </w:r>
      <w:r w:rsidRPr="00882D6A">
        <w:rPr>
          <w:sz w:val="24"/>
          <w:szCs w:val="24"/>
          <w:vertAlign w:val="subscript"/>
        </w:rPr>
        <w:t>2</w:t>
      </w:r>
      <w:r w:rsidRPr="00882D6A">
        <w:rPr>
          <w:sz w:val="24"/>
          <w:szCs w:val="24"/>
        </w:rPr>
        <w:t>, glucose, and pH) and the electrochemical profiling of plants. Overall, the design of the affordable electrochemical platform brings a leap forward in versatile sensors for plant (bio)chemical monitoring, which can accelerate the developments in future precision farming.</w:t>
      </w:r>
    </w:p>
    <w:p w14:paraId="42C89862" w14:textId="77777777" w:rsidR="007956D8" w:rsidRPr="00164502" w:rsidRDefault="007956D8" w:rsidP="00B83CA0">
      <w:pPr>
        <w:spacing w:after="0" w:line="240" w:lineRule="auto"/>
        <w:jc w:val="both"/>
        <w:rPr>
          <w:rFonts w:eastAsia="Gulim" w:cs="Calibri"/>
          <w:b/>
          <w:bCs/>
          <w:sz w:val="24"/>
          <w:szCs w:val="24"/>
        </w:rPr>
      </w:pPr>
      <w:r w:rsidRPr="00164502">
        <w:rPr>
          <w:rFonts w:eastAsia="Gulim" w:cs="Calibri"/>
          <w:b/>
          <w:bCs/>
          <w:sz w:val="24"/>
          <w:szCs w:val="24"/>
        </w:rPr>
        <w:t>References</w:t>
      </w:r>
    </w:p>
    <w:p w14:paraId="5F2E63E7" w14:textId="568457D5" w:rsidR="007A685C" w:rsidRPr="007A685C" w:rsidRDefault="00882D6A" w:rsidP="007A685C">
      <w:pPr>
        <w:widowControl w:val="0"/>
        <w:autoSpaceDE w:val="0"/>
        <w:autoSpaceDN w:val="0"/>
        <w:adjustRightInd w:val="0"/>
        <w:spacing w:after="0" w:line="240" w:lineRule="auto"/>
        <w:ind w:left="640" w:hanging="640"/>
        <w:rPr>
          <w:rFonts w:cs="Calibri"/>
          <w:noProof/>
          <w:szCs w:val="24"/>
        </w:rPr>
      </w:pPr>
      <w:r>
        <w:rPr>
          <w:rFonts w:eastAsia="Gulim" w:cs="Calibri"/>
        </w:rPr>
        <w:fldChar w:fldCharType="begin" w:fldLock="1"/>
      </w:r>
      <w:r>
        <w:rPr>
          <w:rFonts w:eastAsia="Gulim" w:cs="Calibri"/>
        </w:rPr>
        <w:instrText xml:space="preserve">ADDIN Mendeley Bibliography CSL_BIBLIOGRAPHY </w:instrText>
      </w:r>
      <w:r>
        <w:rPr>
          <w:rFonts w:eastAsia="Gulim" w:cs="Calibri"/>
        </w:rPr>
        <w:fldChar w:fldCharType="separate"/>
      </w:r>
      <w:r w:rsidR="007A685C" w:rsidRPr="007A685C">
        <w:rPr>
          <w:rFonts w:cs="Calibri"/>
          <w:noProof/>
          <w:szCs w:val="24"/>
        </w:rPr>
        <w:t>[1]</w:t>
      </w:r>
      <w:r w:rsidR="007A685C" w:rsidRPr="007A685C">
        <w:rPr>
          <w:rFonts w:cs="Calibri"/>
          <w:noProof/>
          <w:szCs w:val="24"/>
        </w:rPr>
        <w:tab/>
        <w:t xml:space="preserve">P. Coatsworth, L. Gonzalez-Macia, A.S.P. Collins, T. Bozkurt, F. Güder, Continuous monitoring of chemical signals in plants under stress, Nat. Rev. Chem. 7 (2022) 7–25. </w:t>
      </w:r>
    </w:p>
    <w:p w14:paraId="11BB762E" w14:textId="2E2A7353" w:rsidR="007A685C" w:rsidRPr="007A685C" w:rsidRDefault="007A685C" w:rsidP="007A685C">
      <w:pPr>
        <w:widowControl w:val="0"/>
        <w:autoSpaceDE w:val="0"/>
        <w:autoSpaceDN w:val="0"/>
        <w:adjustRightInd w:val="0"/>
        <w:spacing w:after="0" w:line="240" w:lineRule="auto"/>
        <w:ind w:left="640" w:hanging="640"/>
        <w:rPr>
          <w:rFonts w:cs="Calibri"/>
          <w:noProof/>
          <w:szCs w:val="24"/>
        </w:rPr>
      </w:pPr>
      <w:r w:rsidRPr="007A685C">
        <w:rPr>
          <w:rFonts w:cs="Calibri"/>
          <w:noProof/>
          <w:szCs w:val="24"/>
        </w:rPr>
        <w:t>[2]</w:t>
      </w:r>
      <w:r w:rsidRPr="007A685C">
        <w:rPr>
          <w:rFonts w:cs="Calibri"/>
          <w:noProof/>
          <w:szCs w:val="24"/>
        </w:rPr>
        <w:tab/>
        <w:t xml:space="preserve">D. Lo Presti, J. Di Tocco, C. Massaroni, S. Cimini, L. De Gara, S. Singh, A. Raucci, G. Manganiello, S.L. Woo, E. Schena, S. Cinti, Current understanding, challenges and perspective on portable systems applied to plant monitoring and precision agriculture, Biosens. Bioelectron. 222 (2023) 115005. </w:t>
      </w:r>
    </w:p>
    <w:p w14:paraId="5FB16D58" w14:textId="2D97150A" w:rsidR="007A685C" w:rsidRPr="007A685C" w:rsidRDefault="007A685C" w:rsidP="007A685C">
      <w:pPr>
        <w:widowControl w:val="0"/>
        <w:autoSpaceDE w:val="0"/>
        <w:autoSpaceDN w:val="0"/>
        <w:adjustRightInd w:val="0"/>
        <w:spacing w:after="0" w:line="240" w:lineRule="auto"/>
        <w:ind w:left="640" w:hanging="640"/>
        <w:rPr>
          <w:rFonts w:cs="Calibri"/>
          <w:noProof/>
        </w:rPr>
      </w:pPr>
      <w:r w:rsidRPr="007A685C">
        <w:rPr>
          <w:rFonts w:cs="Calibri"/>
          <w:noProof/>
          <w:szCs w:val="24"/>
        </w:rPr>
        <w:t>[3]</w:t>
      </w:r>
      <w:r w:rsidRPr="007A685C">
        <w:rPr>
          <w:rFonts w:cs="Calibri"/>
          <w:noProof/>
          <w:szCs w:val="24"/>
        </w:rPr>
        <w:tab/>
        <w:t xml:space="preserve">M. Parrilla, A. Sena-Torralba, A. Steijlen, S. Morais, Á. Maquieira, K. De Wael, A 3D-printed hollow microneedle-based electrochemical sensing device for in situ plant health monitoring, Biosens. Bioelectron. 251 (2024) 116131. </w:t>
      </w:r>
    </w:p>
    <w:p w14:paraId="5B0A0D5B" w14:textId="1FCBF912" w:rsidR="007956D8" w:rsidRPr="00164502" w:rsidRDefault="00882D6A" w:rsidP="00362700">
      <w:pPr>
        <w:spacing w:after="0" w:line="240" w:lineRule="auto"/>
        <w:jc w:val="center"/>
        <w:rPr>
          <w:rFonts w:eastAsia="Gulim" w:cs="Calibri"/>
          <w:sz w:val="24"/>
          <w:szCs w:val="24"/>
        </w:rPr>
      </w:pPr>
      <w:r>
        <w:rPr>
          <w:rFonts w:eastAsia="Gulim" w:cs="Calibri"/>
        </w:rPr>
        <w:fldChar w:fldCharType="end"/>
      </w:r>
      <w:r w:rsidR="00266EF2" w:rsidRPr="00B64198">
        <w:rPr>
          <w:noProof/>
        </w:rPr>
        <w:pict w14:anchorId="2BAB2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460.5pt;height:171.45pt;visibility:visible;mso-wrap-style:square">
            <v:imagedata r:id="rId8" o:title=""/>
          </v:shape>
        </w:pict>
      </w:r>
    </w:p>
    <w:p w14:paraId="6996C16B" w14:textId="31B20E69" w:rsidR="001D74CB" w:rsidRPr="001D74CB" w:rsidRDefault="006F529F" w:rsidP="00266EF2">
      <w:pPr>
        <w:spacing w:after="0" w:line="240" w:lineRule="auto"/>
        <w:ind w:firstLine="720"/>
        <w:rPr>
          <w:rFonts w:eastAsia="Gulim" w:cs="Calibri"/>
        </w:rPr>
      </w:pPr>
      <w:r w:rsidRPr="00164502">
        <w:rPr>
          <w:rFonts w:eastAsia="Gulim" w:cs="Calibri"/>
          <w:b/>
        </w:rPr>
        <w:t>Figure 1:</w:t>
      </w:r>
      <w:r w:rsidRPr="00164502">
        <w:rPr>
          <w:rFonts w:eastAsia="Gulim" w:cs="Calibri"/>
        </w:rPr>
        <w:t xml:space="preserve"> </w:t>
      </w:r>
      <w:r w:rsidR="004A6C01">
        <w:rPr>
          <w:rFonts w:eastAsia="Gulim" w:cs="Calibri"/>
        </w:rPr>
        <w:t>From the fabrication of affordable microneedle arrays to the sensing application.</w:t>
      </w:r>
      <w:r w:rsidR="001D74CB">
        <w:rPr>
          <w:rFonts w:eastAsia="Gulim" w:cs="Calibri"/>
        </w:rPr>
        <w:tab/>
      </w:r>
    </w:p>
    <w:sectPr w:rsidR="001D74CB" w:rsidRPr="001D74CB" w:rsidSect="00F01E9A">
      <w:footerReference w:type="even" r:id="rId9"/>
      <w:footerReference w:type="default" r:id="rId10"/>
      <w:type w:val="continuous"/>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AA34" w14:textId="77777777" w:rsidR="00F01E9A" w:rsidRDefault="00F01E9A" w:rsidP="003223FF">
      <w:pPr>
        <w:spacing w:after="0" w:line="240" w:lineRule="auto"/>
      </w:pPr>
      <w:r>
        <w:separator/>
      </w:r>
    </w:p>
  </w:endnote>
  <w:endnote w:type="continuationSeparator" w:id="0">
    <w:p w14:paraId="159D8641" w14:textId="77777777" w:rsidR="00F01E9A" w:rsidRDefault="00F01E9A" w:rsidP="0032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EF21" w14:textId="77777777" w:rsidR="00D335C7" w:rsidRDefault="00585485"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7C2" w14:textId="77777777" w:rsidR="00D335C7" w:rsidRPr="00164502" w:rsidRDefault="00B83CA0"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w:t>
    </w:r>
    <w:r w:rsidR="007956D8" w:rsidRPr="00164502">
      <w:rPr>
        <w:rFonts w:cs="Calibri"/>
        <w:b/>
        <w:color w:val="000000"/>
        <w:sz w:val="30"/>
        <w:szCs w:val="30"/>
        <w:lang w:val="es-ES"/>
      </w:rPr>
      <w:t>202</w:t>
    </w:r>
    <w:r w:rsidR="00C601F3">
      <w:rPr>
        <w:rFonts w:cs="Calibri"/>
        <w:b/>
        <w:color w:val="000000"/>
        <w:sz w:val="30"/>
        <w:szCs w:val="30"/>
        <w:lang w:val="es-ES"/>
      </w:rPr>
      <w:t>4</w:t>
    </w:r>
    <w:r w:rsidR="0080018F"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7172E" w:rsidRPr="00164502">
      <w:rPr>
        <w:rFonts w:cs="Calibri"/>
        <w:color w:val="000000"/>
        <w:sz w:val="26"/>
        <w:szCs w:val="26"/>
        <w:lang w:val="es-ES"/>
      </w:rPr>
      <w:t xml:space="preserve">      </w:t>
    </w:r>
    <w:r w:rsidR="00667F4D" w:rsidRPr="00164502">
      <w:rPr>
        <w:rFonts w:cs="Calibri"/>
        <w:color w:val="000000"/>
        <w:sz w:val="26"/>
        <w:szCs w:val="26"/>
        <w:lang w:val="es-ES"/>
      </w:rPr>
      <w:t xml:space="preserve">      </w:t>
    </w:r>
    <w:r w:rsidR="0080018F" w:rsidRPr="00164502">
      <w:rPr>
        <w:rFonts w:cs="Calibri"/>
        <w:color w:val="000000"/>
        <w:sz w:val="26"/>
        <w:szCs w:val="26"/>
        <w:lang w:val="es-ES"/>
      </w:rPr>
      <w:t xml:space="preserve">   </w:t>
    </w:r>
    <w:r w:rsidR="0005217F" w:rsidRPr="00164502">
      <w:rPr>
        <w:rFonts w:cs="Calibri"/>
        <w:color w:val="000000"/>
        <w:sz w:val="26"/>
        <w:szCs w:val="26"/>
        <w:lang w:val="es-ES"/>
      </w:rPr>
      <w:t xml:space="preserve"> </w:t>
    </w:r>
    <w:r w:rsidR="006513CB" w:rsidRPr="00164502">
      <w:rPr>
        <w:rFonts w:cs="Calibri"/>
        <w:color w:val="000000"/>
        <w:sz w:val="26"/>
        <w:szCs w:val="26"/>
        <w:lang w:val="es-ES"/>
      </w:rPr>
      <w:t xml:space="preserve">   </w:t>
    </w:r>
    <w:r w:rsidR="006513CB" w:rsidRPr="00164502">
      <w:rPr>
        <w:rFonts w:cs="Calibri"/>
        <w:color w:val="000000"/>
        <w:sz w:val="24"/>
        <w:szCs w:val="24"/>
        <w:lang w:val="es-ES"/>
      </w:rPr>
      <w:t xml:space="preserve"> </w:t>
    </w:r>
    <w:r w:rsidR="001157D6">
      <w:rPr>
        <w:rFonts w:cs="Calibri"/>
        <w:color w:val="000000"/>
        <w:sz w:val="24"/>
        <w:szCs w:val="24"/>
        <w:lang w:val="es-ES"/>
      </w:rPr>
      <w:t xml:space="preserve">   </w:t>
    </w:r>
    <w:r w:rsidR="00C601F3">
      <w:rPr>
        <w:rFonts w:cs="Calibri"/>
        <w:color w:val="000000"/>
        <w:sz w:val="24"/>
        <w:szCs w:val="24"/>
        <w:lang w:val="es-ES"/>
      </w:rPr>
      <w:tab/>
      <w:t xml:space="preserve">                </w:t>
    </w:r>
    <w:r w:rsidR="00C601F3">
      <w:rPr>
        <w:rFonts w:cs="Calibri"/>
        <w:color w:val="000000"/>
        <w:sz w:val="24"/>
        <w:szCs w:val="24"/>
        <w:lang w:val="es-ES"/>
      </w:rPr>
      <w:tab/>
    </w:r>
    <w:r w:rsidR="00C601F3">
      <w:rPr>
        <w:rFonts w:cs="Calibri"/>
        <w:color w:val="000000"/>
        <w:sz w:val="24"/>
        <w:szCs w:val="24"/>
        <w:lang w:val="es-ES"/>
      </w:rPr>
      <w:tab/>
    </w:r>
    <w:r w:rsidRPr="00164502">
      <w:rPr>
        <w:rFonts w:cs="Calibri"/>
        <w:color w:val="000000"/>
        <w:sz w:val="26"/>
        <w:szCs w:val="26"/>
        <w:lang w:val="es-ES"/>
      </w:rPr>
      <w:t>Tirana</w:t>
    </w:r>
    <w:r w:rsidR="00667F4D" w:rsidRPr="00164502">
      <w:rPr>
        <w:rFonts w:cs="Calibri"/>
        <w:color w:val="000000"/>
        <w:sz w:val="26"/>
        <w:szCs w:val="26"/>
        <w:lang w:val="es-ES"/>
      </w:rPr>
      <w:t xml:space="preserve"> </w:t>
    </w:r>
    <w:r w:rsidR="0080018F" w:rsidRPr="00164502">
      <w:rPr>
        <w:rFonts w:cs="Calibri"/>
        <w:color w:val="000000"/>
        <w:sz w:val="26"/>
        <w:szCs w:val="26"/>
        <w:lang w:val="es-ES"/>
      </w:rPr>
      <w:t>(</w:t>
    </w:r>
    <w:r w:rsidRPr="00164502">
      <w:rPr>
        <w:rFonts w:cs="Calibri"/>
        <w:color w:val="000000"/>
        <w:sz w:val="26"/>
        <w:szCs w:val="26"/>
        <w:lang w:val="es-ES"/>
      </w:rPr>
      <w:t>Albania</w:t>
    </w:r>
    <w:r w:rsidR="00667F4D" w:rsidRPr="00164502">
      <w:rPr>
        <w:rFonts w:cs="Calibri"/>
        <w:color w:val="000000"/>
        <w:sz w:val="26"/>
        <w:szCs w:val="26"/>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8E4C" w14:textId="77777777" w:rsidR="00F01E9A" w:rsidRDefault="00F01E9A" w:rsidP="003223FF">
      <w:pPr>
        <w:spacing w:after="0" w:line="240" w:lineRule="auto"/>
      </w:pPr>
      <w:r>
        <w:separator/>
      </w:r>
    </w:p>
  </w:footnote>
  <w:footnote w:type="continuationSeparator" w:id="0">
    <w:p w14:paraId="3D242FFB" w14:textId="77777777" w:rsidR="00F01E9A" w:rsidRDefault="00F01E9A" w:rsidP="0032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4B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2F8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1440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C26D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C272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D24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9508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E763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816B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660F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10322"/>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EC0AF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67F04"/>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DE72A0"/>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8A375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241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9D7A63"/>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4718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C400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D4DDF"/>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770D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D24E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40E7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51C1A"/>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631C1"/>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93E3C"/>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F2F98"/>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D4F1E"/>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1570C5"/>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1E2FCA"/>
    <w:multiLevelType w:val="hybridMultilevel"/>
    <w:tmpl w:val="34C25C24"/>
    <w:lvl w:ilvl="0" w:tplc="DEAE4AB8">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977AB"/>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569CD"/>
    <w:multiLevelType w:val="hybridMultilevel"/>
    <w:tmpl w:val="3C06389C"/>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3737201">
    <w:abstractNumId w:val="7"/>
  </w:num>
  <w:num w:numId="2" w16cid:durableId="1623149691">
    <w:abstractNumId w:val="26"/>
  </w:num>
  <w:num w:numId="3" w16cid:durableId="1307516062">
    <w:abstractNumId w:val="13"/>
  </w:num>
  <w:num w:numId="4" w16cid:durableId="55394429">
    <w:abstractNumId w:val="27"/>
  </w:num>
  <w:num w:numId="5" w16cid:durableId="1295600953">
    <w:abstractNumId w:val="18"/>
  </w:num>
  <w:num w:numId="6" w16cid:durableId="1084835417">
    <w:abstractNumId w:val="8"/>
  </w:num>
  <w:num w:numId="7" w16cid:durableId="417483388">
    <w:abstractNumId w:val="23"/>
  </w:num>
  <w:num w:numId="8" w16cid:durableId="1234850341">
    <w:abstractNumId w:val="1"/>
  </w:num>
  <w:num w:numId="9" w16cid:durableId="360202235">
    <w:abstractNumId w:val="22"/>
  </w:num>
  <w:num w:numId="10" w16cid:durableId="1159074590">
    <w:abstractNumId w:val="11"/>
  </w:num>
  <w:num w:numId="11" w16cid:durableId="631061730">
    <w:abstractNumId w:val="32"/>
  </w:num>
  <w:num w:numId="12" w16cid:durableId="1910070013">
    <w:abstractNumId w:val="30"/>
  </w:num>
  <w:num w:numId="13" w16cid:durableId="1613900910">
    <w:abstractNumId w:val="12"/>
  </w:num>
  <w:num w:numId="14" w16cid:durableId="770778328">
    <w:abstractNumId w:val="3"/>
  </w:num>
  <w:num w:numId="15" w16cid:durableId="539171887">
    <w:abstractNumId w:val="5"/>
  </w:num>
  <w:num w:numId="16" w16cid:durableId="1680693938">
    <w:abstractNumId w:val="15"/>
  </w:num>
  <w:num w:numId="17" w16cid:durableId="538400857">
    <w:abstractNumId w:val="20"/>
  </w:num>
  <w:num w:numId="18" w16cid:durableId="587693165">
    <w:abstractNumId w:val="16"/>
  </w:num>
  <w:num w:numId="19" w16cid:durableId="914050187">
    <w:abstractNumId w:val="24"/>
  </w:num>
  <w:num w:numId="20" w16cid:durableId="899287443">
    <w:abstractNumId w:val="9"/>
  </w:num>
  <w:num w:numId="21" w16cid:durableId="245503469">
    <w:abstractNumId w:val="25"/>
  </w:num>
  <w:num w:numId="22" w16cid:durableId="1657956583">
    <w:abstractNumId w:val="17"/>
  </w:num>
  <w:num w:numId="23" w16cid:durableId="739329935">
    <w:abstractNumId w:val="31"/>
  </w:num>
  <w:num w:numId="24" w16cid:durableId="2018578400">
    <w:abstractNumId w:val="19"/>
  </w:num>
  <w:num w:numId="25" w16cid:durableId="1220283220">
    <w:abstractNumId w:val="4"/>
  </w:num>
  <w:num w:numId="26" w16cid:durableId="945770364">
    <w:abstractNumId w:val="0"/>
  </w:num>
  <w:num w:numId="27" w16cid:durableId="2073114295">
    <w:abstractNumId w:val="29"/>
  </w:num>
  <w:num w:numId="28" w16cid:durableId="938022827">
    <w:abstractNumId w:val="6"/>
  </w:num>
  <w:num w:numId="29" w16cid:durableId="546571092">
    <w:abstractNumId w:val="14"/>
  </w:num>
  <w:num w:numId="30" w16cid:durableId="1615477697">
    <w:abstractNumId w:val="10"/>
  </w:num>
  <w:num w:numId="31" w16cid:durableId="325207324">
    <w:abstractNumId w:val="28"/>
  </w:num>
  <w:num w:numId="32" w16cid:durableId="2010256015">
    <w:abstractNumId w:val="2"/>
  </w:num>
  <w:num w:numId="33" w16cid:durableId="461193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AwM7IwNjYxM7MwMTFV0lEKTi0uzszPAykwrAUAlJ9OXSwAAAA="/>
  </w:docVars>
  <w:rsids>
    <w:rsidRoot w:val="00D52FA4"/>
    <w:rsid w:val="00022BDE"/>
    <w:rsid w:val="00026408"/>
    <w:rsid w:val="0005217F"/>
    <w:rsid w:val="000557C5"/>
    <w:rsid w:val="000621A4"/>
    <w:rsid w:val="0007053A"/>
    <w:rsid w:val="0007172E"/>
    <w:rsid w:val="00075C9A"/>
    <w:rsid w:val="00081CAA"/>
    <w:rsid w:val="000B7A50"/>
    <w:rsid w:val="000E1A1D"/>
    <w:rsid w:val="000F7C58"/>
    <w:rsid w:val="001157D6"/>
    <w:rsid w:val="00124A4F"/>
    <w:rsid w:val="00137D12"/>
    <w:rsid w:val="001464F7"/>
    <w:rsid w:val="00161E65"/>
    <w:rsid w:val="00164502"/>
    <w:rsid w:val="001B0DE5"/>
    <w:rsid w:val="001B237B"/>
    <w:rsid w:val="001C7966"/>
    <w:rsid w:val="001D2B40"/>
    <w:rsid w:val="001D74CB"/>
    <w:rsid w:val="001F41EA"/>
    <w:rsid w:val="001F6D66"/>
    <w:rsid w:val="00215BE5"/>
    <w:rsid w:val="00216B6F"/>
    <w:rsid w:val="002205F6"/>
    <w:rsid w:val="00220BA5"/>
    <w:rsid w:val="0022671B"/>
    <w:rsid w:val="00235652"/>
    <w:rsid w:val="00241756"/>
    <w:rsid w:val="002464AE"/>
    <w:rsid w:val="00252481"/>
    <w:rsid w:val="00264EF0"/>
    <w:rsid w:val="00266EF2"/>
    <w:rsid w:val="00294095"/>
    <w:rsid w:val="002A7F8F"/>
    <w:rsid w:val="002B0F54"/>
    <w:rsid w:val="002E1568"/>
    <w:rsid w:val="00303D4A"/>
    <w:rsid w:val="003223FF"/>
    <w:rsid w:val="00325502"/>
    <w:rsid w:val="00342952"/>
    <w:rsid w:val="0034590A"/>
    <w:rsid w:val="0036066D"/>
    <w:rsid w:val="00362700"/>
    <w:rsid w:val="003A3B36"/>
    <w:rsid w:val="003A6B6D"/>
    <w:rsid w:val="003D027A"/>
    <w:rsid w:val="003D5813"/>
    <w:rsid w:val="003D68A2"/>
    <w:rsid w:val="003D6ECB"/>
    <w:rsid w:val="003E16ED"/>
    <w:rsid w:val="003F23EB"/>
    <w:rsid w:val="003F65A1"/>
    <w:rsid w:val="00405607"/>
    <w:rsid w:val="00415D8B"/>
    <w:rsid w:val="00444CCB"/>
    <w:rsid w:val="00467520"/>
    <w:rsid w:val="004726B5"/>
    <w:rsid w:val="00487276"/>
    <w:rsid w:val="00494F49"/>
    <w:rsid w:val="004A6C01"/>
    <w:rsid w:val="004B239F"/>
    <w:rsid w:val="004D08FF"/>
    <w:rsid w:val="004E67BB"/>
    <w:rsid w:val="00512C7F"/>
    <w:rsid w:val="0052063E"/>
    <w:rsid w:val="00523CFE"/>
    <w:rsid w:val="00532D42"/>
    <w:rsid w:val="005649F8"/>
    <w:rsid w:val="00585485"/>
    <w:rsid w:val="005A1E55"/>
    <w:rsid w:val="005B4B85"/>
    <w:rsid w:val="005C2A5B"/>
    <w:rsid w:val="006045E1"/>
    <w:rsid w:val="00633DCA"/>
    <w:rsid w:val="0063623B"/>
    <w:rsid w:val="00644D17"/>
    <w:rsid w:val="00645FA5"/>
    <w:rsid w:val="006513CB"/>
    <w:rsid w:val="0066606F"/>
    <w:rsid w:val="00667F4D"/>
    <w:rsid w:val="00671998"/>
    <w:rsid w:val="00672A11"/>
    <w:rsid w:val="00690C61"/>
    <w:rsid w:val="006A0AC7"/>
    <w:rsid w:val="006A5C6A"/>
    <w:rsid w:val="006B250A"/>
    <w:rsid w:val="006E0DBB"/>
    <w:rsid w:val="006E452F"/>
    <w:rsid w:val="006F529F"/>
    <w:rsid w:val="00701A08"/>
    <w:rsid w:val="0070509D"/>
    <w:rsid w:val="00707206"/>
    <w:rsid w:val="00712B56"/>
    <w:rsid w:val="00714E76"/>
    <w:rsid w:val="007247F9"/>
    <w:rsid w:val="00735211"/>
    <w:rsid w:val="00737C15"/>
    <w:rsid w:val="00770E4C"/>
    <w:rsid w:val="007956D8"/>
    <w:rsid w:val="007A1B21"/>
    <w:rsid w:val="007A685C"/>
    <w:rsid w:val="007C14DA"/>
    <w:rsid w:val="007E036F"/>
    <w:rsid w:val="0080018F"/>
    <w:rsid w:val="008042B3"/>
    <w:rsid w:val="00836457"/>
    <w:rsid w:val="008776AE"/>
    <w:rsid w:val="00881923"/>
    <w:rsid w:val="00882D6A"/>
    <w:rsid w:val="008840AF"/>
    <w:rsid w:val="00896316"/>
    <w:rsid w:val="008A4501"/>
    <w:rsid w:val="008D292E"/>
    <w:rsid w:val="008D6644"/>
    <w:rsid w:val="008F4C70"/>
    <w:rsid w:val="008F5BEC"/>
    <w:rsid w:val="008F65EC"/>
    <w:rsid w:val="008F67DF"/>
    <w:rsid w:val="00903AAB"/>
    <w:rsid w:val="00923845"/>
    <w:rsid w:val="0093776F"/>
    <w:rsid w:val="00957AAF"/>
    <w:rsid w:val="009656EE"/>
    <w:rsid w:val="00967B21"/>
    <w:rsid w:val="0098794A"/>
    <w:rsid w:val="009B28B6"/>
    <w:rsid w:val="009D5C21"/>
    <w:rsid w:val="009F4625"/>
    <w:rsid w:val="009F4AA0"/>
    <w:rsid w:val="00A30F0B"/>
    <w:rsid w:val="00A353B3"/>
    <w:rsid w:val="00A37BE3"/>
    <w:rsid w:val="00A72C1A"/>
    <w:rsid w:val="00A7477F"/>
    <w:rsid w:val="00A912FF"/>
    <w:rsid w:val="00AC1534"/>
    <w:rsid w:val="00AC64C2"/>
    <w:rsid w:val="00AD3100"/>
    <w:rsid w:val="00B10C1B"/>
    <w:rsid w:val="00B33A75"/>
    <w:rsid w:val="00B422A4"/>
    <w:rsid w:val="00B63526"/>
    <w:rsid w:val="00B80E75"/>
    <w:rsid w:val="00B828E3"/>
    <w:rsid w:val="00B83CA0"/>
    <w:rsid w:val="00B94949"/>
    <w:rsid w:val="00BA04AB"/>
    <w:rsid w:val="00BA0E7D"/>
    <w:rsid w:val="00BA6D27"/>
    <w:rsid w:val="00BB7CC8"/>
    <w:rsid w:val="00BC4F75"/>
    <w:rsid w:val="00BF27A2"/>
    <w:rsid w:val="00BF65D9"/>
    <w:rsid w:val="00BF72D3"/>
    <w:rsid w:val="00C00A55"/>
    <w:rsid w:val="00C05980"/>
    <w:rsid w:val="00C35FAB"/>
    <w:rsid w:val="00C51AE7"/>
    <w:rsid w:val="00C601F3"/>
    <w:rsid w:val="00C62D70"/>
    <w:rsid w:val="00C832A7"/>
    <w:rsid w:val="00C84283"/>
    <w:rsid w:val="00CA4E6A"/>
    <w:rsid w:val="00CC1080"/>
    <w:rsid w:val="00CE2F18"/>
    <w:rsid w:val="00D13751"/>
    <w:rsid w:val="00D1640A"/>
    <w:rsid w:val="00D335C7"/>
    <w:rsid w:val="00D52FA4"/>
    <w:rsid w:val="00D57EDC"/>
    <w:rsid w:val="00D64EDA"/>
    <w:rsid w:val="00D706CB"/>
    <w:rsid w:val="00D74DB3"/>
    <w:rsid w:val="00D95CCF"/>
    <w:rsid w:val="00D96815"/>
    <w:rsid w:val="00D96AE6"/>
    <w:rsid w:val="00D976AB"/>
    <w:rsid w:val="00DA26B0"/>
    <w:rsid w:val="00E002D9"/>
    <w:rsid w:val="00E3331A"/>
    <w:rsid w:val="00E35459"/>
    <w:rsid w:val="00E401E9"/>
    <w:rsid w:val="00E63404"/>
    <w:rsid w:val="00E82448"/>
    <w:rsid w:val="00E9079E"/>
    <w:rsid w:val="00EB3980"/>
    <w:rsid w:val="00EC0BC9"/>
    <w:rsid w:val="00EC785F"/>
    <w:rsid w:val="00ED611C"/>
    <w:rsid w:val="00EF135A"/>
    <w:rsid w:val="00F01E9A"/>
    <w:rsid w:val="00F04736"/>
    <w:rsid w:val="00F12FC1"/>
    <w:rsid w:val="00F339B4"/>
    <w:rsid w:val="00F67379"/>
    <w:rsid w:val="00F73D83"/>
    <w:rsid w:val="00F9215D"/>
    <w:rsid w:val="00FA51E6"/>
    <w:rsid w:val="00FE788C"/>
    <w:rsid w:val="00FF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A20230"/>
  <w15:chartTrackingRefBased/>
  <w15:docId w15:val="{335EFB13-CB32-40A1-BF55-DD82ACE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2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F529F"/>
    <w:rPr>
      <w:rFonts w:ascii="Tahoma" w:hAnsi="Tahoma" w:cs="Tahoma"/>
      <w:sz w:val="16"/>
      <w:szCs w:val="16"/>
    </w:rPr>
  </w:style>
  <w:style w:type="paragraph" w:styleId="ListParagraph">
    <w:name w:val="List Paragraph"/>
    <w:basedOn w:val="Normal"/>
    <w:uiPriority w:val="34"/>
    <w:qFormat/>
    <w:rsid w:val="00A7477F"/>
    <w:pPr>
      <w:ind w:left="720"/>
      <w:contextualSpacing/>
    </w:pPr>
  </w:style>
  <w:style w:type="paragraph" w:styleId="Header">
    <w:name w:val="header"/>
    <w:basedOn w:val="Normal"/>
    <w:link w:val="HeaderChar"/>
    <w:uiPriority w:val="99"/>
    <w:unhideWhenUsed/>
    <w:rsid w:val="003223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23FF"/>
  </w:style>
  <w:style w:type="paragraph" w:styleId="Footer">
    <w:name w:val="footer"/>
    <w:basedOn w:val="Normal"/>
    <w:link w:val="FooterChar"/>
    <w:uiPriority w:val="99"/>
    <w:unhideWhenUsed/>
    <w:rsid w:val="003223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23FF"/>
  </w:style>
  <w:style w:type="paragraph" w:customStyle="1" w:styleId="2909F619802848F09E01365C32F34654">
    <w:name w:val="2909F619802848F09E01365C32F34654"/>
    <w:rsid w:val="003223FF"/>
    <w:pPr>
      <w:spacing w:after="200" w:line="276" w:lineRule="auto"/>
    </w:pPr>
    <w:rPr>
      <w:rFonts w:eastAsia="Times New Roman"/>
      <w:sz w:val="22"/>
      <w:szCs w:val="22"/>
      <w:lang w:val="en-GB" w:eastAsia="en-GB"/>
    </w:rPr>
  </w:style>
  <w:style w:type="table" w:styleId="TableGrid">
    <w:name w:val="Table Grid"/>
    <w:basedOn w:val="TableNormal"/>
    <w:uiPriority w:val="59"/>
    <w:rsid w:val="00BA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B6D"/>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rsid w:val="00075C9A"/>
    <w:pPr>
      <w:spacing w:beforeLines="1" w:afterLines="1" w:after="0" w:line="240" w:lineRule="auto"/>
    </w:pPr>
    <w:rPr>
      <w:rFonts w:ascii="Times" w:eastAsia="Times New Roman" w:hAnsi="Times"/>
      <w:sz w:val="20"/>
      <w:szCs w:val="20"/>
      <w:lang w:val="en-US" w:eastAsia="fr-FR"/>
    </w:rPr>
  </w:style>
  <w:style w:type="paragraph" w:customStyle="1" w:styleId="textonormal">
    <w:name w:val="textonormal"/>
    <w:basedOn w:val="Normal"/>
    <w:rsid w:val="005649F8"/>
    <w:pPr>
      <w:spacing w:before="100" w:beforeAutospacing="1" w:after="100" w:afterAutospacing="1" w:line="240" w:lineRule="auto"/>
    </w:pPr>
    <w:rPr>
      <w:rFonts w:ascii="Verdana" w:eastAsia="Times New Roman" w:hAnsi="Verdana"/>
      <w:color w:val="000000"/>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AC9E-730E-4CA1-BB07-B3D4CF47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1600</Words>
  <Characters>9123</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Phantoms Foundation</dc:creator>
  <cp:keywords/>
  <cp:lastModifiedBy>Marc Parrilla Pons</cp:lastModifiedBy>
  <cp:revision>8</cp:revision>
  <cp:lastPrinted>2016-10-26T15:14:00Z</cp:lastPrinted>
  <dcterms:created xsi:type="dcterms:W3CDTF">2024-05-22T15:00:00Z</dcterms:created>
  <dcterms:modified xsi:type="dcterms:W3CDTF">2024-05-22T15:04:00Z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http://www.zotero.org/styles/analytical-chemistry</vt:lpwstr>
  </property>
  <property fmtid="{D5CDD505-2E9C-101B-9397-08002B2CF9AE}" pid="3" name="Mendeley Recent Style Name 0_1">
    <vt:lpwstr>Analytical Chemistry</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http://www.zotero.org/styles/lab-on-a-chip</vt:lpwstr>
  </property>
  <property fmtid="{D5CDD505-2E9C-101B-9397-08002B2CF9AE}" pid="7" name="Mendeley Recent Style Name 2_1">
    <vt:lpwstr>Lab on a Chip</vt:lpwstr>
  </property>
  <property fmtid="{D5CDD505-2E9C-101B-9397-08002B2CF9AE}" pid="8" name="Mendeley Recent Style Id 3_1">
    <vt:lpwstr>http://www.zotero.org/styles/microchemical-journal</vt:lpwstr>
  </property>
  <property fmtid="{D5CDD505-2E9C-101B-9397-08002B2CF9AE}" pid="9" name="Mendeley Recent Style Name 3_1">
    <vt:lpwstr>Microchemical Journal</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http://www.zotero.org/styles/sensors</vt:lpwstr>
  </property>
  <property fmtid="{D5CDD505-2E9C-101B-9397-08002B2CF9AE}" pid="15" name="Mendeley Recent Style Name 6_1">
    <vt:lpwstr>Sensors</vt:lpwstr>
  </property>
  <property fmtid="{D5CDD505-2E9C-101B-9397-08002B2CF9AE}" pid="16" name="Mendeley Recent Style Id 7_1">
    <vt:lpwstr>http://www.zotero.org/styles/sensors-and-actuators-b-chemical</vt:lpwstr>
  </property>
  <property fmtid="{D5CDD505-2E9C-101B-9397-08002B2CF9AE}" pid="17" name="Mendeley Recent Style Name 7_1">
    <vt:lpwstr>Sensors &amp; Actuators: B. Chemical</vt:lpwstr>
  </property>
  <property fmtid="{D5CDD505-2E9C-101B-9397-08002B2CF9AE}" pid="18" name="Mendeley Recent Style Id 8_1">
    <vt:lpwstr>http://www.zotero.org/styles/trends-in-analytical-chemistry</vt:lpwstr>
  </property>
  <property fmtid="{D5CDD505-2E9C-101B-9397-08002B2CF9AE}" pid="19" name="Mendeley Recent Style Name 8_1">
    <vt:lpwstr>Trends in Analytical Chemistry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1212357f-9641-3e5d-9edc-843900b455fe</vt:lpwstr>
  </property>
  <property fmtid="{D5CDD505-2E9C-101B-9397-08002B2CF9AE}" pid="24" name="Mendeley Citation Style_1">
    <vt:lpwstr>http://www.zotero.org/styles/sensors-and-actuators-b-chemical</vt:lpwstr>
  </property>
</Properties>
</file>