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B0E5C" w14:textId="77777777" w:rsidR="0038558C" w:rsidRPr="0038558C" w:rsidRDefault="0038558C" w:rsidP="0038558C">
      <w:pPr>
        <w:spacing w:after="0" w:line="240" w:lineRule="auto"/>
        <w:jc w:val="center"/>
        <w:rPr>
          <w:rFonts w:eastAsia="Gulim" w:cs="Calibri"/>
          <w:b/>
          <w:spacing w:val="-10"/>
          <w:sz w:val="30"/>
          <w:szCs w:val="30"/>
        </w:rPr>
      </w:pPr>
      <w:r w:rsidRPr="0038558C">
        <w:rPr>
          <w:rFonts w:eastAsia="Gulim" w:cs="Calibri"/>
          <w:b/>
          <w:spacing w:val="-10"/>
          <w:sz w:val="30"/>
          <w:szCs w:val="30"/>
        </w:rPr>
        <w:t>“Three-in-one” Multifunctional Nanohybrids with Fluorescence</w:t>
      </w:r>
    </w:p>
    <w:p w14:paraId="7546E619" w14:textId="4E02E1A6" w:rsidR="00FF4A58" w:rsidRPr="00164502" w:rsidRDefault="0038558C" w:rsidP="0038558C">
      <w:pPr>
        <w:spacing w:after="0" w:line="240" w:lineRule="auto"/>
        <w:jc w:val="center"/>
        <w:rPr>
          <w:rFonts w:eastAsia="Gulim" w:cs="Calibri"/>
          <w:b/>
          <w:spacing w:val="-10"/>
          <w:sz w:val="30"/>
          <w:szCs w:val="30"/>
        </w:rPr>
      </w:pPr>
      <w:r w:rsidRPr="0038558C">
        <w:rPr>
          <w:rFonts w:eastAsia="Gulim" w:cs="Calibri"/>
          <w:b/>
          <w:spacing w:val="-10"/>
          <w:sz w:val="30"/>
          <w:szCs w:val="30"/>
        </w:rPr>
        <w:t>for Sensitive Paper-based Biosensing of Pathogens</w:t>
      </w:r>
    </w:p>
    <w:p w14:paraId="3BF64917" w14:textId="77777777" w:rsidR="0005217F" w:rsidRPr="00164502" w:rsidRDefault="0005217F" w:rsidP="00B83CA0">
      <w:pPr>
        <w:pBdr>
          <w:top w:val="single" w:sz="4" w:space="1" w:color="auto"/>
          <w:bottom w:val="single" w:sz="4" w:space="1" w:color="auto"/>
        </w:pBdr>
        <w:spacing w:after="0" w:line="240" w:lineRule="auto"/>
        <w:jc w:val="both"/>
        <w:rPr>
          <w:rFonts w:eastAsia="Gulim" w:cs="Calibri"/>
          <w:b/>
        </w:rPr>
      </w:pPr>
    </w:p>
    <w:p w14:paraId="725EC281" w14:textId="696D6E32" w:rsidR="006F529F" w:rsidRPr="00164502" w:rsidRDefault="0038558C" w:rsidP="00B83CA0">
      <w:pPr>
        <w:pBdr>
          <w:top w:val="single" w:sz="4" w:space="1" w:color="auto"/>
          <w:bottom w:val="single" w:sz="4" w:space="1" w:color="auto"/>
        </w:pBdr>
        <w:spacing w:after="0" w:line="240" w:lineRule="auto"/>
        <w:jc w:val="both"/>
        <w:rPr>
          <w:rFonts w:eastAsia="Gulim" w:cs="Calibri"/>
          <w:b/>
        </w:rPr>
      </w:pPr>
      <w:r w:rsidRPr="0038558C">
        <w:rPr>
          <w:rFonts w:eastAsia="Gulim" w:cs="Calibri"/>
          <w:b/>
        </w:rPr>
        <w:t>Jing</w:t>
      </w:r>
      <w:r w:rsidRPr="0038558C">
        <w:rPr>
          <w:rFonts w:eastAsia="Gulim" w:cs="Calibri"/>
          <w:b/>
        </w:rPr>
        <w:t xml:space="preserve"> </w:t>
      </w:r>
      <w:r w:rsidRPr="0038558C">
        <w:rPr>
          <w:rFonts w:eastAsia="Gulim" w:cs="Calibri"/>
          <w:b/>
        </w:rPr>
        <w:t>Yuan</w:t>
      </w:r>
    </w:p>
    <w:p w14:paraId="431DA4B6" w14:textId="68933991" w:rsidR="00E82448" w:rsidRPr="0038558C" w:rsidRDefault="0038558C" w:rsidP="00B83CA0">
      <w:pPr>
        <w:pBdr>
          <w:top w:val="single" w:sz="4" w:space="1" w:color="auto"/>
          <w:bottom w:val="single" w:sz="4" w:space="1" w:color="auto"/>
        </w:pBdr>
        <w:spacing w:after="0" w:line="240" w:lineRule="auto"/>
        <w:jc w:val="both"/>
        <w:rPr>
          <w:rFonts w:eastAsia="Gulim" w:cs="Calibri"/>
          <w:i/>
          <w:sz w:val="20"/>
          <w:szCs w:val="20"/>
          <w:lang w:val="es-ES"/>
        </w:rPr>
      </w:pPr>
      <w:r w:rsidRPr="0038558C">
        <w:rPr>
          <w:rFonts w:eastAsia="Gulim" w:cs="Calibri"/>
          <w:i/>
          <w:sz w:val="20"/>
          <w:szCs w:val="20"/>
          <w:lang w:val="es-ES"/>
        </w:rPr>
        <w:t>ICN2</w:t>
      </w:r>
      <w:r w:rsidRPr="0038558C">
        <w:rPr>
          <w:rFonts w:eastAsia="Gulim" w:cs="Calibri"/>
          <w:i/>
          <w:sz w:val="20"/>
          <w:szCs w:val="20"/>
          <w:lang w:val="es-ES"/>
        </w:rPr>
        <w:t xml:space="preserve">, </w:t>
      </w:r>
      <w:proofErr w:type="spellStart"/>
      <w:r w:rsidRPr="0038558C">
        <w:rPr>
          <w:rFonts w:eastAsia="Gulim" w:cs="Calibri"/>
          <w:i/>
          <w:sz w:val="20"/>
          <w:szCs w:val="20"/>
          <w:lang w:val="es-ES"/>
        </w:rPr>
        <w:t>Spain</w:t>
      </w:r>
      <w:proofErr w:type="spellEnd"/>
    </w:p>
    <w:p w14:paraId="6344B993" w14:textId="5E10DC19" w:rsidR="008F67DF" w:rsidRPr="0038558C" w:rsidRDefault="0038558C" w:rsidP="00B83CA0">
      <w:pPr>
        <w:pBdr>
          <w:top w:val="single" w:sz="4" w:space="1" w:color="auto"/>
          <w:bottom w:val="single" w:sz="4" w:space="1" w:color="auto"/>
        </w:pBdr>
        <w:spacing w:after="0" w:line="240" w:lineRule="auto"/>
        <w:jc w:val="both"/>
        <w:rPr>
          <w:rFonts w:eastAsia="Gulim" w:cs="Calibri"/>
          <w:color w:val="4F81BD"/>
          <w:sz w:val="20"/>
          <w:szCs w:val="20"/>
          <w:lang w:val="es-ES"/>
        </w:rPr>
      </w:pPr>
      <w:r w:rsidRPr="0038558C">
        <w:rPr>
          <w:rFonts w:eastAsia="Gulim" w:cs="Calibri"/>
          <w:color w:val="4F81BD"/>
          <w:sz w:val="20"/>
          <w:szCs w:val="20"/>
          <w:lang w:val="es-ES"/>
        </w:rPr>
        <w:t>jyuan@icn2.net</w:t>
      </w:r>
    </w:p>
    <w:p w14:paraId="5E9025FA" w14:textId="77777777" w:rsidR="008F67DF" w:rsidRPr="0038558C" w:rsidRDefault="008F67DF" w:rsidP="00B83CA0">
      <w:pPr>
        <w:pBdr>
          <w:top w:val="single" w:sz="4" w:space="1" w:color="auto"/>
          <w:bottom w:val="single" w:sz="4" w:space="1" w:color="auto"/>
        </w:pBdr>
        <w:spacing w:after="0" w:line="240" w:lineRule="auto"/>
        <w:jc w:val="both"/>
        <w:rPr>
          <w:rFonts w:eastAsia="Gulim" w:cs="Calibri"/>
          <w:sz w:val="20"/>
          <w:szCs w:val="20"/>
          <w:lang w:val="es-ES"/>
        </w:rPr>
      </w:pPr>
    </w:p>
    <w:p w14:paraId="5B0DBF09" w14:textId="77777777" w:rsidR="00735211" w:rsidRPr="0038558C" w:rsidRDefault="00735211" w:rsidP="00B83CA0">
      <w:pPr>
        <w:spacing w:after="0" w:line="240" w:lineRule="auto"/>
        <w:jc w:val="both"/>
        <w:rPr>
          <w:rFonts w:eastAsia="Gulim" w:cs="Calibri"/>
          <w:b/>
          <w:sz w:val="20"/>
          <w:szCs w:val="20"/>
          <w:lang w:val="es-ES"/>
        </w:rPr>
      </w:pPr>
    </w:p>
    <w:p w14:paraId="316C26AD" w14:textId="65FE253D" w:rsidR="0038558C" w:rsidRPr="001D74CB" w:rsidRDefault="0038558C" w:rsidP="0038558C">
      <w:pPr>
        <w:spacing w:after="0" w:line="240" w:lineRule="auto"/>
        <w:jc w:val="both"/>
        <w:rPr>
          <w:rFonts w:eastAsia="Gulim" w:cs="Calibri"/>
        </w:rPr>
      </w:pPr>
      <w:r w:rsidRPr="0038558C">
        <w:rPr>
          <w:rFonts w:eastAsia="Gulim" w:cs="Calibri"/>
          <w:spacing w:val="-2"/>
          <w:sz w:val="24"/>
          <w:szCs w:val="24"/>
        </w:rPr>
        <w:t>Our research aims to exploit the exceptional properties of lateral flow assay-based (LFA) multifunctional nanomaterials to developed improved requirements for rapid and reliable food safety control demands new sensing techniques with excellent performance. Our approach centres on the fabrication of magnetic nanobeads (MNBs) core-shell structure with defective metal organic frameworks-based (MNB@MOFs) biosensors using of high sensitivity, accuracy, and reliability for analysis of food contaminants. This technology utilises boronic acid on the surface of defective MOFs and demonstrated the triple functions of foodborne pathogen detection: (</w:t>
      </w:r>
      <w:proofErr w:type="spellStart"/>
      <w:r w:rsidRPr="0038558C">
        <w:rPr>
          <w:rFonts w:eastAsia="Gulim" w:cs="Calibri"/>
          <w:spacing w:val="-2"/>
          <w:sz w:val="24"/>
          <w:szCs w:val="24"/>
        </w:rPr>
        <w:t>i</w:t>
      </w:r>
      <w:proofErr w:type="spellEnd"/>
      <w:r w:rsidRPr="0038558C">
        <w:rPr>
          <w:rFonts w:eastAsia="Gulim" w:cs="Calibri"/>
          <w:spacing w:val="-2"/>
          <w:sz w:val="24"/>
          <w:szCs w:val="24"/>
        </w:rPr>
        <w:t>) instead of recognizing bacteria with antibodies, this test has the advantages of easy preparation and low price; (ii) as a fluorescent label for rapid and highly sensitive detection of pathogenic bacteria; (iii) the ability to enrich targets from large complex samples. The functionalization of the NC membrane with antibodies, aptamers or-nanobodies enables the specific capture of target. MNB@MOFs labelled bacteria as complex conjugates added into the sample pad, upon binding events between the immobilized bioreceptors and the conjugates, discernible changes in the test line are observed enabling rapid and sensitive detection of bacteria. The combination of nanomaterial-based sensors offers a promising avenue for point-of-care detection that can range from food safety to health diagnostics.</w:t>
      </w:r>
    </w:p>
    <w:p w14:paraId="20672CBB" w14:textId="7CE3466E" w:rsidR="001D74CB" w:rsidRPr="001D74CB" w:rsidRDefault="001D74CB" w:rsidP="001D74CB">
      <w:pPr>
        <w:tabs>
          <w:tab w:val="left" w:pos="2505"/>
        </w:tabs>
        <w:rPr>
          <w:rFonts w:eastAsia="Gulim" w:cs="Calibri"/>
        </w:rPr>
      </w:pPr>
    </w:p>
    <w:sectPr w:rsidR="001D74CB" w:rsidRPr="001D74CB" w:rsidSect="00F01E9A">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624" w:right="1077" w:bottom="624" w:left="1077" w:header="624" w:footer="624"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31D302" w14:textId="77777777" w:rsidR="00BB4560" w:rsidRDefault="00BB4560" w:rsidP="003223FF">
      <w:pPr>
        <w:spacing w:after="0" w:line="240" w:lineRule="auto"/>
      </w:pPr>
      <w:r>
        <w:separator/>
      </w:r>
    </w:p>
  </w:endnote>
  <w:endnote w:type="continuationSeparator" w:id="0">
    <w:p w14:paraId="6B4764C1" w14:textId="77777777" w:rsidR="00BB4560" w:rsidRDefault="00BB4560" w:rsidP="00322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2013D" w14:textId="77777777" w:rsidR="00D335C7" w:rsidRDefault="00585485" w:rsidP="00C832A7">
    <w:pPr>
      <w:pStyle w:val="Piedepgina"/>
      <w:pBdr>
        <w:top w:val="single" w:sz="2" w:space="1" w:color="auto"/>
      </w:pBdr>
    </w:pPr>
    <w:r w:rsidRPr="00C62D70">
      <w:rPr>
        <w:rFonts w:ascii="Century Gothic" w:hAnsi="Century Gothic"/>
        <w:color w:val="000000"/>
        <w:sz w:val="24"/>
        <w:szCs w:val="24"/>
      </w:rPr>
      <w:t>March 28-31, 2017 Barcelona (</w:t>
    </w:r>
    <w:proofErr w:type="gramStart"/>
    <w:r w:rsidRPr="00C62D70">
      <w:rPr>
        <w:rFonts w:ascii="Century Gothic" w:hAnsi="Century Gothic"/>
        <w:color w:val="000000"/>
        <w:sz w:val="24"/>
        <w:szCs w:val="24"/>
      </w:rPr>
      <w:t xml:space="preserve">Spain) </w:t>
    </w:r>
    <w:r>
      <w:rPr>
        <w:rFonts w:ascii="Century Gothic" w:hAnsi="Century Gothic"/>
        <w:color w:val="000000"/>
        <w:sz w:val="24"/>
        <w:szCs w:val="24"/>
      </w:rPr>
      <w:t xml:space="preserve">  </w:t>
    </w:r>
    <w:proofErr w:type="gramEnd"/>
    <w:r>
      <w:rPr>
        <w:rFonts w:ascii="Century Gothic" w:hAnsi="Century Gothic"/>
        <w:color w:val="000000"/>
        <w:sz w:val="24"/>
        <w:szCs w:val="24"/>
      </w:rPr>
      <w:t xml:space="preserve">                                               </w:t>
    </w:r>
    <w:r>
      <w:rPr>
        <w:rFonts w:ascii="Century Gothic" w:hAnsi="Century Gothic"/>
        <w:b/>
        <w:color w:val="000000"/>
        <w:sz w:val="28"/>
        <w:szCs w:val="28"/>
      </w:rPr>
      <w:t>Graphene2017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BA470" w14:textId="77777777" w:rsidR="00D335C7" w:rsidRPr="00164502" w:rsidRDefault="00B83CA0" w:rsidP="00C601F3">
    <w:pPr>
      <w:pStyle w:val="Piedepgina"/>
      <w:pBdr>
        <w:top w:val="single" w:sz="2" w:space="1" w:color="auto"/>
      </w:pBdr>
      <w:tabs>
        <w:tab w:val="clear" w:pos="8504"/>
      </w:tabs>
      <w:rPr>
        <w:rFonts w:cs="Calibri"/>
        <w:color w:val="000000"/>
        <w:sz w:val="24"/>
        <w:szCs w:val="24"/>
        <w:lang w:val="es-ES"/>
      </w:rPr>
    </w:pPr>
    <w:r w:rsidRPr="00164502">
      <w:rPr>
        <w:rFonts w:cs="Calibri"/>
        <w:b/>
        <w:color w:val="000000"/>
        <w:sz w:val="30"/>
        <w:szCs w:val="30"/>
        <w:lang w:val="es-ES"/>
      </w:rPr>
      <w:t>nanoBalkan</w:t>
    </w:r>
    <w:r w:rsidR="007956D8" w:rsidRPr="00164502">
      <w:rPr>
        <w:rFonts w:cs="Calibri"/>
        <w:b/>
        <w:color w:val="000000"/>
        <w:sz w:val="30"/>
        <w:szCs w:val="30"/>
        <w:lang w:val="es-ES"/>
      </w:rPr>
      <w:t>202</w:t>
    </w:r>
    <w:r w:rsidR="00C601F3">
      <w:rPr>
        <w:rFonts w:cs="Calibri"/>
        <w:b/>
        <w:color w:val="000000"/>
        <w:sz w:val="30"/>
        <w:szCs w:val="30"/>
        <w:lang w:val="es-ES"/>
      </w:rPr>
      <w:t>4</w:t>
    </w:r>
    <w:r w:rsidR="0080018F" w:rsidRPr="00164502">
      <w:rPr>
        <w:rFonts w:cs="Calibri"/>
        <w:color w:val="000000"/>
        <w:sz w:val="26"/>
        <w:szCs w:val="26"/>
        <w:lang w:val="es-ES"/>
      </w:rPr>
      <w:t xml:space="preserve">                           </w:t>
    </w:r>
    <w:r w:rsidR="00667F4D" w:rsidRPr="00164502">
      <w:rPr>
        <w:rFonts w:cs="Calibri"/>
        <w:color w:val="000000"/>
        <w:sz w:val="26"/>
        <w:szCs w:val="26"/>
        <w:lang w:val="es-ES"/>
      </w:rPr>
      <w:t xml:space="preserve">   </w:t>
    </w:r>
    <w:r w:rsidR="0080018F" w:rsidRPr="00164502">
      <w:rPr>
        <w:rFonts w:cs="Calibri"/>
        <w:color w:val="000000"/>
        <w:sz w:val="26"/>
        <w:szCs w:val="26"/>
        <w:lang w:val="es-ES"/>
      </w:rPr>
      <w:t xml:space="preserve">    </w:t>
    </w:r>
    <w:r w:rsidR="0007172E" w:rsidRPr="00164502">
      <w:rPr>
        <w:rFonts w:cs="Calibri"/>
        <w:color w:val="000000"/>
        <w:sz w:val="26"/>
        <w:szCs w:val="26"/>
        <w:lang w:val="es-ES"/>
      </w:rPr>
      <w:t xml:space="preserve">      </w:t>
    </w:r>
    <w:r w:rsidR="00667F4D" w:rsidRPr="00164502">
      <w:rPr>
        <w:rFonts w:cs="Calibri"/>
        <w:color w:val="000000"/>
        <w:sz w:val="26"/>
        <w:szCs w:val="26"/>
        <w:lang w:val="es-ES"/>
      </w:rPr>
      <w:t xml:space="preserve">      </w:t>
    </w:r>
    <w:r w:rsidR="0080018F" w:rsidRPr="00164502">
      <w:rPr>
        <w:rFonts w:cs="Calibri"/>
        <w:color w:val="000000"/>
        <w:sz w:val="26"/>
        <w:szCs w:val="26"/>
        <w:lang w:val="es-ES"/>
      </w:rPr>
      <w:t xml:space="preserve">   </w:t>
    </w:r>
    <w:r w:rsidR="0005217F" w:rsidRPr="00164502">
      <w:rPr>
        <w:rFonts w:cs="Calibri"/>
        <w:color w:val="000000"/>
        <w:sz w:val="26"/>
        <w:szCs w:val="26"/>
        <w:lang w:val="es-ES"/>
      </w:rPr>
      <w:t xml:space="preserve"> </w:t>
    </w:r>
    <w:r w:rsidR="006513CB" w:rsidRPr="00164502">
      <w:rPr>
        <w:rFonts w:cs="Calibri"/>
        <w:color w:val="000000"/>
        <w:sz w:val="26"/>
        <w:szCs w:val="26"/>
        <w:lang w:val="es-ES"/>
      </w:rPr>
      <w:t xml:space="preserve">   </w:t>
    </w:r>
    <w:r w:rsidR="006513CB" w:rsidRPr="00164502">
      <w:rPr>
        <w:rFonts w:cs="Calibri"/>
        <w:color w:val="000000"/>
        <w:sz w:val="24"/>
        <w:szCs w:val="24"/>
        <w:lang w:val="es-ES"/>
      </w:rPr>
      <w:t xml:space="preserve"> </w:t>
    </w:r>
    <w:r w:rsidR="001157D6">
      <w:rPr>
        <w:rFonts w:cs="Calibri"/>
        <w:color w:val="000000"/>
        <w:sz w:val="24"/>
        <w:szCs w:val="24"/>
        <w:lang w:val="es-ES"/>
      </w:rPr>
      <w:t xml:space="preserve">   </w:t>
    </w:r>
    <w:r w:rsidR="00C601F3">
      <w:rPr>
        <w:rFonts w:cs="Calibri"/>
        <w:color w:val="000000"/>
        <w:sz w:val="24"/>
        <w:szCs w:val="24"/>
        <w:lang w:val="es-ES"/>
      </w:rPr>
      <w:tab/>
      <w:t xml:space="preserve">                </w:t>
    </w:r>
    <w:r w:rsidR="00C601F3">
      <w:rPr>
        <w:rFonts w:cs="Calibri"/>
        <w:color w:val="000000"/>
        <w:sz w:val="24"/>
        <w:szCs w:val="24"/>
        <w:lang w:val="es-ES"/>
      </w:rPr>
      <w:tab/>
    </w:r>
    <w:r w:rsidR="00C601F3">
      <w:rPr>
        <w:rFonts w:cs="Calibri"/>
        <w:color w:val="000000"/>
        <w:sz w:val="24"/>
        <w:szCs w:val="24"/>
        <w:lang w:val="es-ES"/>
      </w:rPr>
      <w:tab/>
    </w:r>
    <w:r w:rsidRPr="00164502">
      <w:rPr>
        <w:rFonts w:cs="Calibri"/>
        <w:color w:val="000000"/>
        <w:sz w:val="26"/>
        <w:szCs w:val="26"/>
        <w:lang w:val="es-ES"/>
      </w:rPr>
      <w:t>Tirana</w:t>
    </w:r>
    <w:r w:rsidR="00667F4D" w:rsidRPr="00164502">
      <w:rPr>
        <w:rFonts w:cs="Calibri"/>
        <w:color w:val="000000"/>
        <w:sz w:val="26"/>
        <w:szCs w:val="26"/>
        <w:lang w:val="es-ES"/>
      </w:rPr>
      <w:t xml:space="preserve"> </w:t>
    </w:r>
    <w:r w:rsidR="0080018F" w:rsidRPr="00164502">
      <w:rPr>
        <w:rFonts w:cs="Calibri"/>
        <w:color w:val="000000"/>
        <w:sz w:val="26"/>
        <w:szCs w:val="26"/>
        <w:lang w:val="es-ES"/>
      </w:rPr>
      <w:t>(</w:t>
    </w:r>
    <w:r w:rsidRPr="00164502">
      <w:rPr>
        <w:rFonts w:cs="Calibri"/>
        <w:color w:val="000000"/>
        <w:sz w:val="26"/>
        <w:szCs w:val="26"/>
        <w:lang w:val="es-ES"/>
      </w:rPr>
      <w:t>Albania</w:t>
    </w:r>
    <w:r w:rsidR="00667F4D" w:rsidRPr="00164502">
      <w:rPr>
        <w:rFonts w:cs="Calibri"/>
        <w:color w:val="000000"/>
        <w:sz w:val="26"/>
        <w:szCs w:val="26"/>
        <w:lang w:val="es-E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14109" w14:textId="77777777" w:rsidR="001D74CB" w:rsidRDefault="001D74C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D2543" w14:textId="77777777" w:rsidR="00BB4560" w:rsidRDefault="00BB4560" w:rsidP="003223FF">
      <w:pPr>
        <w:spacing w:after="0" w:line="240" w:lineRule="auto"/>
      </w:pPr>
      <w:r>
        <w:separator/>
      </w:r>
    </w:p>
  </w:footnote>
  <w:footnote w:type="continuationSeparator" w:id="0">
    <w:p w14:paraId="1713D796" w14:textId="77777777" w:rsidR="00BB4560" w:rsidRDefault="00BB4560" w:rsidP="003223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E20D6" w14:textId="77777777" w:rsidR="001D74CB" w:rsidRDefault="001D74C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DB99B" w14:textId="77777777" w:rsidR="001D74CB" w:rsidRDefault="001D74C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0D85B" w14:textId="77777777" w:rsidR="001D74CB" w:rsidRDefault="001D74C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104B2"/>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CF2F84"/>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81440C"/>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9C26D2"/>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EC2723"/>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7D24AB"/>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795082"/>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E6782D"/>
    <w:multiLevelType w:val="hybridMultilevel"/>
    <w:tmpl w:val="DC72B538"/>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0E7630"/>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F816BD"/>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8660F5"/>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E10322"/>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EC0AFF"/>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967F04"/>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DE72A0"/>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8A375C"/>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1241D1"/>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9D7A63"/>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B4718F"/>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1C400B"/>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4D4DDF"/>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C770D1"/>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CD24E1"/>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A40E7D"/>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E551C1A"/>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8631C1"/>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B93E3C"/>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AF2F98"/>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2D4F1E"/>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1570C5"/>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71E2FCA"/>
    <w:multiLevelType w:val="hybridMultilevel"/>
    <w:tmpl w:val="34C25C24"/>
    <w:lvl w:ilvl="0" w:tplc="DEAE4AB8">
      <w:start w:val="1"/>
      <w:numFmt w:val="bullet"/>
      <w:lvlText w:val=""/>
      <w:lvlJc w:val="left"/>
      <w:pPr>
        <w:ind w:left="720" w:hanging="360"/>
      </w:pPr>
      <w:rPr>
        <w:rFonts w:ascii="Symbol" w:hAnsi="Symbol" w:hint="default"/>
        <w:color w:val="4F81BD"/>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B977AB"/>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78569CD"/>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0308704">
    <w:abstractNumId w:val="7"/>
  </w:num>
  <w:num w:numId="2" w16cid:durableId="1620331201">
    <w:abstractNumId w:val="26"/>
  </w:num>
  <w:num w:numId="3" w16cid:durableId="225845486">
    <w:abstractNumId w:val="13"/>
  </w:num>
  <w:num w:numId="4" w16cid:durableId="320816038">
    <w:abstractNumId w:val="27"/>
  </w:num>
  <w:num w:numId="5" w16cid:durableId="33240535">
    <w:abstractNumId w:val="18"/>
  </w:num>
  <w:num w:numId="6" w16cid:durableId="1101340514">
    <w:abstractNumId w:val="8"/>
  </w:num>
  <w:num w:numId="7" w16cid:durableId="595939631">
    <w:abstractNumId w:val="23"/>
  </w:num>
  <w:num w:numId="8" w16cid:durableId="793519913">
    <w:abstractNumId w:val="1"/>
  </w:num>
  <w:num w:numId="9" w16cid:durableId="2127113920">
    <w:abstractNumId w:val="22"/>
  </w:num>
  <w:num w:numId="10" w16cid:durableId="821699848">
    <w:abstractNumId w:val="11"/>
  </w:num>
  <w:num w:numId="11" w16cid:durableId="1787430987">
    <w:abstractNumId w:val="32"/>
  </w:num>
  <w:num w:numId="12" w16cid:durableId="1518694057">
    <w:abstractNumId w:val="30"/>
  </w:num>
  <w:num w:numId="13" w16cid:durableId="309020132">
    <w:abstractNumId w:val="12"/>
  </w:num>
  <w:num w:numId="14" w16cid:durableId="304898797">
    <w:abstractNumId w:val="3"/>
  </w:num>
  <w:num w:numId="15" w16cid:durableId="1859811173">
    <w:abstractNumId w:val="5"/>
  </w:num>
  <w:num w:numId="16" w16cid:durableId="581646805">
    <w:abstractNumId w:val="15"/>
  </w:num>
  <w:num w:numId="17" w16cid:durableId="1387028315">
    <w:abstractNumId w:val="20"/>
  </w:num>
  <w:num w:numId="18" w16cid:durableId="2047480563">
    <w:abstractNumId w:val="16"/>
  </w:num>
  <w:num w:numId="19" w16cid:durableId="810905437">
    <w:abstractNumId w:val="24"/>
  </w:num>
  <w:num w:numId="20" w16cid:durableId="169608502">
    <w:abstractNumId w:val="9"/>
  </w:num>
  <w:num w:numId="21" w16cid:durableId="185750125">
    <w:abstractNumId w:val="25"/>
  </w:num>
  <w:num w:numId="22" w16cid:durableId="1443528394">
    <w:abstractNumId w:val="17"/>
  </w:num>
  <w:num w:numId="23" w16cid:durableId="1349015906">
    <w:abstractNumId w:val="31"/>
  </w:num>
  <w:num w:numId="24" w16cid:durableId="1376733566">
    <w:abstractNumId w:val="19"/>
  </w:num>
  <w:num w:numId="25" w16cid:durableId="564688184">
    <w:abstractNumId w:val="4"/>
  </w:num>
  <w:num w:numId="26" w16cid:durableId="770011241">
    <w:abstractNumId w:val="0"/>
  </w:num>
  <w:num w:numId="27" w16cid:durableId="701707513">
    <w:abstractNumId w:val="29"/>
  </w:num>
  <w:num w:numId="28" w16cid:durableId="1840999913">
    <w:abstractNumId w:val="6"/>
  </w:num>
  <w:num w:numId="29" w16cid:durableId="1078599630">
    <w:abstractNumId w:val="14"/>
  </w:num>
  <w:num w:numId="30" w16cid:durableId="1819220579">
    <w:abstractNumId w:val="10"/>
  </w:num>
  <w:num w:numId="31" w16cid:durableId="2103645464">
    <w:abstractNumId w:val="28"/>
  </w:num>
  <w:num w:numId="32" w16cid:durableId="1911571598">
    <w:abstractNumId w:val="2"/>
  </w:num>
  <w:num w:numId="33" w16cid:durableId="129802509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FA4"/>
    <w:rsid w:val="00022BDE"/>
    <w:rsid w:val="00026408"/>
    <w:rsid w:val="0005217F"/>
    <w:rsid w:val="000557C5"/>
    <w:rsid w:val="000621A4"/>
    <w:rsid w:val="0007053A"/>
    <w:rsid w:val="0007172E"/>
    <w:rsid w:val="00075C9A"/>
    <w:rsid w:val="00081CAA"/>
    <w:rsid w:val="000B7A50"/>
    <w:rsid w:val="000E1A1D"/>
    <w:rsid w:val="000F7C58"/>
    <w:rsid w:val="001157D6"/>
    <w:rsid w:val="00124A4F"/>
    <w:rsid w:val="00137D12"/>
    <w:rsid w:val="001464F7"/>
    <w:rsid w:val="00161E65"/>
    <w:rsid w:val="00164502"/>
    <w:rsid w:val="001B0DE5"/>
    <w:rsid w:val="001B237B"/>
    <w:rsid w:val="001C7966"/>
    <w:rsid w:val="001D2B40"/>
    <w:rsid w:val="001D74CB"/>
    <w:rsid w:val="001F41EA"/>
    <w:rsid w:val="001F6D66"/>
    <w:rsid w:val="00215BE5"/>
    <w:rsid w:val="00216B6F"/>
    <w:rsid w:val="002205F6"/>
    <w:rsid w:val="00220BA5"/>
    <w:rsid w:val="0022671B"/>
    <w:rsid w:val="00235652"/>
    <w:rsid w:val="00241756"/>
    <w:rsid w:val="002464AE"/>
    <w:rsid w:val="00252481"/>
    <w:rsid w:val="00264EF0"/>
    <w:rsid w:val="00294095"/>
    <w:rsid w:val="002A7F8F"/>
    <w:rsid w:val="002B0F54"/>
    <w:rsid w:val="002E1568"/>
    <w:rsid w:val="00303D4A"/>
    <w:rsid w:val="003223FF"/>
    <w:rsid w:val="00325502"/>
    <w:rsid w:val="00342952"/>
    <w:rsid w:val="0034590A"/>
    <w:rsid w:val="0038558C"/>
    <w:rsid w:val="003A3B36"/>
    <w:rsid w:val="003A6B6D"/>
    <w:rsid w:val="003D027A"/>
    <w:rsid w:val="003D5813"/>
    <w:rsid w:val="003D68A2"/>
    <w:rsid w:val="003D6ECB"/>
    <w:rsid w:val="003E16ED"/>
    <w:rsid w:val="003F23EB"/>
    <w:rsid w:val="003F65A1"/>
    <w:rsid w:val="00405607"/>
    <w:rsid w:val="00415D8B"/>
    <w:rsid w:val="00444CCB"/>
    <w:rsid w:val="00467520"/>
    <w:rsid w:val="004726B5"/>
    <w:rsid w:val="00487276"/>
    <w:rsid w:val="00494F49"/>
    <w:rsid w:val="004B239F"/>
    <w:rsid w:val="004D08FF"/>
    <w:rsid w:val="004E67BB"/>
    <w:rsid w:val="00512C7F"/>
    <w:rsid w:val="0052063E"/>
    <w:rsid w:val="00523CFE"/>
    <w:rsid w:val="00532D42"/>
    <w:rsid w:val="005649F8"/>
    <w:rsid w:val="00585485"/>
    <w:rsid w:val="005A1E55"/>
    <w:rsid w:val="005C2A5B"/>
    <w:rsid w:val="006045E1"/>
    <w:rsid w:val="00633DCA"/>
    <w:rsid w:val="0063623B"/>
    <w:rsid w:val="00644D17"/>
    <w:rsid w:val="00645FA5"/>
    <w:rsid w:val="006513CB"/>
    <w:rsid w:val="0066606F"/>
    <w:rsid w:val="00667F4D"/>
    <w:rsid w:val="00671998"/>
    <w:rsid w:val="00672A11"/>
    <w:rsid w:val="00690C61"/>
    <w:rsid w:val="006A0AC7"/>
    <w:rsid w:val="006A5C6A"/>
    <w:rsid w:val="006B250A"/>
    <w:rsid w:val="006E0DBB"/>
    <w:rsid w:val="006E452F"/>
    <w:rsid w:val="006F529F"/>
    <w:rsid w:val="00701A08"/>
    <w:rsid w:val="0070509D"/>
    <w:rsid w:val="00707206"/>
    <w:rsid w:val="00712B56"/>
    <w:rsid w:val="00714E76"/>
    <w:rsid w:val="007247F9"/>
    <w:rsid w:val="00735211"/>
    <w:rsid w:val="00737C15"/>
    <w:rsid w:val="00770E4C"/>
    <w:rsid w:val="007956D8"/>
    <w:rsid w:val="007A1B21"/>
    <w:rsid w:val="007C14DA"/>
    <w:rsid w:val="007E036F"/>
    <w:rsid w:val="0080018F"/>
    <w:rsid w:val="008042B3"/>
    <w:rsid w:val="00836457"/>
    <w:rsid w:val="008776AE"/>
    <w:rsid w:val="00881923"/>
    <w:rsid w:val="008840AF"/>
    <w:rsid w:val="00896316"/>
    <w:rsid w:val="008A4501"/>
    <w:rsid w:val="008D292E"/>
    <w:rsid w:val="008D6644"/>
    <w:rsid w:val="008F4C70"/>
    <w:rsid w:val="008F5BEC"/>
    <w:rsid w:val="008F65EC"/>
    <w:rsid w:val="008F67DF"/>
    <w:rsid w:val="00903AAB"/>
    <w:rsid w:val="00923845"/>
    <w:rsid w:val="0093776F"/>
    <w:rsid w:val="00957AAF"/>
    <w:rsid w:val="009656EE"/>
    <w:rsid w:val="00967B21"/>
    <w:rsid w:val="0098794A"/>
    <w:rsid w:val="009B28B6"/>
    <w:rsid w:val="009D5C21"/>
    <w:rsid w:val="009F4625"/>
    <w:rsid w:val="009F4AA0"/>
    <w:rsid w:val="00A30F0B"/>
    <w:rsid w:val="00A353B3"/>
    <w:rsid w:val="00A37BE3"/>
    <w:rsid w:val="00A72C1A"/>
    <w:rsid w:val="00A7477F"/>
    <w:rsid w:val="00A912FF"/>
    <w:rsid w:val="00AC1534"/>
    <w:rsid w:val="00AC64C2"/>
    <w:rsid w:val="00AD3100"/>
    <w:rsid w:val="00B10C1B"/>
    <w:rsid w:val="00B33A75"/>
    <w:rsid w:val="00B422A4"/>
    <w:rsid w:val="00B63526"/>
    <w:rsid w:val="00B80E75"/>
    <w:rsid w:val="00B828E3"/>
    <w:rsid w:val="00B83CA0"/>
    <w:rsid w:val="00B94949"/>
    <w:rsid w:val="00BA04AB"/>
    <w:rsid w:val="00BA0E7D"/>
    <w:rsid w:val="00BA6D27"/>
    <w:rsid w:val="00BB4560"/>
    <w:rsid w:val="00BB7CC8"/>
    <w:rsid w:val="00BC4F75"/>
    <w:rsid w:val="00BF27A2"/>
    <w:rsid w:val="00BF65D9"/>
    <w:rsid w:val="00BF72D3"/>
    <w:rsid w:val="00C00A55"/>
    <w:rsid w:val="00C05980"/>
    <w:rsid w:val="00C51AE7"/>
    <w:rsid w:val="00C601F3"/>
    <w:rsid w:val="00C62D70"/>
    <w:rsid w:val="00C832A7"/>
    <w:rsid w:val="00C84283"/>
    <w:rsid w:val="00CA4E6A"/>
    <w:rsid w:val="00CC1080"/>
    <w:rsid w:val="00CE2F18"/>
    <w:rsid w:val="00D13751"/>
    <w:rsid w:val="00D1640A"/>
    <w:rsid w:val="00D335C7"/>
    <w:rsid w:val="00D52FA4"/>
    <w:rsid w:val="00D57EDC"/>
    <w:rsid w:val="00D64EDA"/>
    <w:rsid w:val="00D706CB"/>
    <w:rsid w:val="00D74DB3"/>
    <w:rsid w:val="00D95CCF"/>
    <w:rsid w:val="00D96815"/>
    <w:rsid w:val="00D96AE6"/>
    <w:rsid w:val="00D976AB"/>
    <w:rsid w:val="00DA26B0"/>
    <w:rsid w:val="00E002D9"/>
    <w:rsid w:val="00E3331A"/>
    <w:rsid w:val="00E35459"/>
    <w:rsid w:val="00E401E9"/>
    <w:rsid w:val="00E63404"/>
    <w:rsid w:val="00E82448"/>
    <w:rsid w:val="00E9079E"/>
    <w:rsid w:val="00EB3980"/>
    <w:rsid w:val="00EC0BC9"/>
    <w:rsid w:val="00EC785F"/>
    <w:rsid w:val="00ED611C"/>
    <w:rsid w:val="00EF135A"/>
    <w:rsid w:val="00F01E9A"/>
    <w:rsid w:val="00F04736"/>
    <w:rsid w:val="00F12FC1"/>
    <w:rsid w:val="00F339B4"/>
    <w:rsid w:val="00F67379"/>
    <w:rsid w:val="00F73D83"/>
    <w:rsid w:val="00FA51E6"/>
    <w:rsid w:val="00FE788C"/>
    <w:rsid w:val="00FF4A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2DB0B"/>
  <w15:chartTrackingRefBased/>
  <w15:docId w15:val="{F4BD9C8F-F250-4754-84EA-B9ACB5BA6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F529F"/>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6F529F"/>
    <w:rPr>
      <w:rFonts w:ascii="Tahoma" w:hAnsi="Tahoma" w:cs="Tahoma"/>
      <w:sz w:val="16"/>
      <w:szCs w:val="16"/>
    </w:rPr>
  </w:style>
  <w:style w:type="paragraph" w:styleId="Prrafodelista">
    <w:name w:val="List Paragraph"/>
    <w:basedOn w:val="Normal"/>
    <w:uiPriority w:val="34"/>
    <w:qFormat/>
    <w:rsid w:val="00A7477F"/>
    <w:pPr>
      <w:ind w:left="720"/>
      <w:contextualSpacing/>
    </w:pPr>
  </w:style>
  <w:style w:type="paragraph" w:styleId="Encabezado">
    <w:name w:val="header"/>
    <w:basedOn w:val="Normal"/>
    <w:link w:val="EncabezadoCar"/>
    <w:uiPriority w:val="99"/>
    <w:unhideWhenUsed/>
    <w:rsid w:val="003223F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223FF"/>
  </w:style>
  <w:style w:type="paragraph" w:styleId="Piedepgina">
    <w:name w:val="footer"/>
    <w:basedOn w:val="Normal"/>
    <w:link w:val="PiedepginaCar"/>
    <w:uiPriority w:val="99"/>
    <w:unhideWhenUsed/>
    <w:rsid w:val="003223F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223FF"/>
  </w:style>
  <w:style w:type="paragraph" w:customStyle="1" w:styleId="2909F619802848F09E01365C32F34654">
    <w:name w:val="2909F619802848F09E01365C32F34654"/>
    <w:rsid w:val="003223FF"/>
    <w:pPr>
      <w:spacing w:after="200" w:line="276" w:lineRule="auto"/>
    </w:pPr>
    <w:rPr>
      <w:rFonts w:eastAsia="Times New Roman"/>
      <w:sz w:val="22"/>
      <w:szCs w:val="22"/>
      <w:lang w:val="en-GB" w:eastAsia="en-GB"/>
    </w:rPr>
  </w:style>
  <w:style w:type="table" w:styleId="Tablaconcuadrcula">
    <w:name w:val="Table Grid"/>
    <w:basedOn w:val="Tablanormal"/>
    <w:uiPriority w:val="59"/>
    <w:rsid w:val="00BA6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A6B6D"/>
    <w:pPr>
      <w:autoSpaceDE w:val="0"/>
      <w:autoSpaceDN w:val="0"/>
      <w:adjustRightInd w:val="0"/>
    </w:pPr>
    <w:rPr>
      <w:rFonts w:ascii="Arial" w:hAnsi="Arial" w:cs="Arial"/>
      <w:color w:val="000000"/>
      <w:sz w:val="24"/>
      <w:szCs w:val="24"/>
      <w:lang w:val="en-GB" w:eastAsia="en-US"/>
    </w:rPr>
  </w:style>
  <w:style w:type="paragraph" w:styleId="NormalWeb">
    <w:name w:val="Normal (Web)"/>
    <w:basedOn w:val="Normal"/>
    <w:uiPriority w:val="99"/>
    <w:rsid w:val="00075C9A"/>
    <w:pPr>
      <w:spacing w:beforeLines="1" w:afterLines="1" w:after="0" w:line="240" w:lineRule="auto"/>
    </w:pPr>
    <w:rPr>
      <w:rFonts w:ascii="Times" w:eastAsia="Times New Roman" w:hAnsi="Times"/>
      <w:sz w:val="20"/>
      <w:szCs w:val="20"/>
      <w:lang w:val="en-US" w:eastAsia="fr-FR"/>
    </w:rPr>
  </w:style>
  <w:style w:type="paragraph" w:customStyle="1" w:styleId="textonormal">
    <w:name w:val="textonormal"/>
    <w:basedOn w:val="Normal"/>
    <w:rsid w:val="005649F8"/>
    <w:pPr>
      <w:spacing w:before="100" w:beforeAutospacing="1" w:after="100" w:afterAutospacing="1" w:line="240" w:lineRule="auto"/>
    </w:pPr>
    <w:rPr>
      <w:rFonts w:ascii="Verdana" w:eastAsia="Times New Roman" w:hAnsi="Verdana"/>
      <w:color w:val="000000"/>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6AC9E-730E-4CA1-BB07-B3D4CF471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246</Words>
  <Characters>1356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Phantoms Foundation</dc:creator>
  <cp:keywords/>
  <cp:lastModifiedBy>Jose Luis Roldan</cp:lastModifiedBy>
  <cp:revision>2</cp:revision>
  <cp:lastPrinted>2016-10-26T15:14:00Z</cp:lastPrinted>
  <dcterms:created xsi:type="dcterms:W3CDTF">2024-10-11T13:33:00Z</dcterms:created>
  <dcterms:modified xsi:type="dcterms:W3CDTF">2024-10-11T13:33:00Z</dcterms:modified>
</cp:coreProperties>
</file>