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15E4" w14:textId="77777777" w:rsidR="00640D16" w:rsidRDefault="00173CBE" w:rsidP="00640D16">
      <w:pPr>
        <w:jc w:val="center"/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AB9CE" wp14:editId="749FE6C7">
                <wp:simplePos x="0" y="0"/>
                <wp:positionH relativeFrom="margin">
                  <wp:align>left</wp:align>
                </wp:positionH>
                <wp:positionV relativeFrom="paragraph">
                  <wp:posOffset>492760</wp:posOffset>
                </wp:positionV>
                <wp:extent cx="611504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4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F93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38.8pt;width:481.5pt;height: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UolgEAACIDAAAOAAAAZHJzL2Uyb0RvYy54bWysUk1v2zAMvQ/YfxB0X2x3bbEZcXpI0F2G&#10;rcDWH6DIki1AEgVSi5N/P0ppk33chumgL/I9ko9cPxyDFweD5CAOslu1UpioYXRxGuTz98d3H6Sg&#10;rOKoPEQzyJMh+bB5+2a9pN7cwAx+NCiYJFK/pEHOOae+aUjPJihaQTKRjRYwqMxPnJoR1cLswTc3&#10;bXvfLIBjQtCGiH93Z6PcVH5rjc5frSWThR8k55brjnXfl73ZrFU/oUqz0y9pqH/IIigXOeiFaqey&#10;Ej/Q/UUVnEYgsHmlITRgrdOm1sDVdO0f1XybVTK1FhaH0kUm+n+0+sthG5+QZVgS9ZSesFRxtBjK&#10;yfmJYxXrdBHLHLPQ/HnfdXft7Ucp9KutuQITUv5kIIhyGSRlVG6a8xZi5JYAdlUsdfhMmUMz8BVQ&#10;okZ4dN7XzvgoFg71/vaO4yieD+tVrlgC78biVxCE037rURxUaXNdpbPM+5tbCbJTNJ/9quk8AMFl&#10;UzRggI98XLUotz2MpypR/edGVMeXoSmd/vVd0dfR3vwEAAD//wMAUEsDBBQABgAIAAAAIQAtCjw6&#10;2AAAAAYBAAAPAAAAZHJzL2Rvd25yZXYueG1sTI/BTsMwEETvSPyDtUhcEHUapBRCnAqB2hsHUj7A&#10;iZc4wl5Hsduav2cRBzjOzGrmbbPN3okTLnEKpGC9KkAgDcFMNCp4P+xu70HEpMloFwgVfGGEbXt5&#10;0ejahDO94alLo+ASirVWYFOaaynjYNHruAozEmcfYfE6sVxGaRZ95nLvZFkUlfR6Il6wesZni8Nn&#10;d/QK4s71r+ZlbW5sWYZMdt9l3Ct1fZWfHkEkzOnvGH7wGR1aZurDkUwUTgE/khRsNhUITh+qOzb6&#10;X0O2jfyP334DAAD//wMAUEsBAi0AFAAGAAgAAAAhALaDOJL+AAAA4QEAABMAAAAAAAAAAAAAAAAA&#10;AAAAAFtDb250ZW50X1R5cGVzXS54bWxQSwECLQAUAAYACAAAACEAOP0h/9YAAACUAQAACwAAAAAA&#10;AAAAAAAAAAAvAQAAX3JlbHMvLnJlbHNQSwECLQAUAAYACAAAACEA3UBFKJYBAAAiAwAADgAAAAAA&#10;AAAAAAAAAAAuAgAAZHJzL2Uyb0RvYy54bWxQSwECLQAUAAYACAAAACEALQo8OtgAAAAGAQAADwAA&#10;AAAAAAAAAAAAAADwAwAAZHJzL2Rvd25yZXYueG1sUEsFBgAAAAAEAAQA8wAAAPUEAAAAAA==&#10;" strokeweight=".17625mm">
                <v:stroke joinstyle="miter"/>
                <w10:wrap anchorx="margin"/>
              </v:shape>
            </w:pict>
          </mc:Fallback>
        </mc:AlternateContent>
      </w:r>
      <w:r>
        <w:rPr>
          <w:rFonts w:cs="Calibri"/>
          <w:b/>
          <w:bCs/>
          <w:sz w:val="30"/>
          <w:szCs w:val="30"/>
        </w:rPr>
        <w:t xml:space="preserve">Development of </w:t>
      </w:r>
      <w:r w:rsidR="0063274C">
        <w:rPr>
          <w:rFonts w:cs="Calibri"/>
          <w:b/>
          <w:bCs/>
          <w:sz w:val="30"/>
          <w:szCs w:val="30"/>
        </w:rPr>
        <w:t>L</w:t>
      </w:r>
      <w:r>
        <w:rPr>
          <w:rFonts w:cs="Calibri"/>
          <w:b/>
          <w:bCs/>
          <w:sz w:val="30"/>
          <w:szCs w:val="30"/>
        </w:rPr>
        <w:t>ipid-</w:t>
      </w:r>
      <w:r w:rsidR="00A71E87">
        <w:rPr>
          <w:rFonts w:cs="Calibri"/>
          <w:b/>
          <w:bCs/>
          <w:sz w:val="30"/>
          <w:szCs w:val="30"/>
        </w:rPr>
        <w:t>B</w:t>
      </w:r>
      <w:r>
        <w:rPr>
          <w:rFonts w:cs="Calibri"/>
          <w:b/>
          <w:bCs/>
          <w:sz w:val="30"/>
          <w:szCs w:val="30"/>
        </w:rPr>
        <w:t xml:space="preserve">ased </w:t>
      </w:r>
      <w:r w:rsidR="0063274C">
        <w:rPr>
          <w:rFonts w:cs="Calibri"/>
          <w:b/>
          <w:bCs/>
          <w:sz w:val="30"/>
          <w:szCs w:val="30"/>
        </w:rPr>
        <w:t>M</w:t>
      </w:r>
      <w:r>
        <w:rPr>
          <w:rFonts w:cs="Calibri"/>
          <w:b/>
          <w:bCs/>
          <w:sz w:val="30"/>
          <w:szCs w:val="30"/>
        </w:rPr>
        <w:t xml:space="preserve">ucoadhesive </w:t>
      </w:r>
      <w:r w:rsidR="0063274C">
        <w:rPr>
          <w:rFonts w:cs="Calibri"/>
          <w:b/>
          <w:bCs/>
          <w:sz w:val="30"/>
          <w:szCs w:val="30"/>
        </w:rPr>
        <w:t>D</w:t>
      </w:r>
      <w:r>
        <w:rPr>
          <w:rFonts w:cs="Calibri"/>
          <w:b/>
          <w:bCs/>
          <w:sz w:val="30"/>
          <w:szCs w:val="30"/>
        </w:rPr>
        <w:t xml:space="preserve">rug </w:t>
      </w:r>
      <w:r w:rsidR="0063274C">
        <w:rPr>
          <w:rFonts w:cs="Calibri"/>
          <w:b/>
          <w:bCs/>
          <w:sz w:val="30"/>
          <w:szCs w:val="30"/>
        </w:rPr>
        <w:t>D</w:t>
      </w:r>
      <w:r>
        <w:rPr>
          <w:rFonts w:cs="Calibri"/>
          <w:b/>
          <w:bCs/>
          <w:sz w:val="30"/>
          <w:szCs w:val="30"/>
        </w:rPr>
        <w:t xml:space="preserve">elivery </w:t>
      </w:r>
      <w:r w:rsidR="0063274C">
        <w:rPr>
          <w:rFonts w:cs="Calibri"/>
          <w:b/>
          <w:bCs/>
          <w:sz w:val="30"/>
          <w:szCs w:val="30"/>
        </w:rPr>
        <w:t>S</w:t>
      </w:r>
      <w:r>
        <w:rPr>
          <w:rFonts w:cs="Calibri"/>
          <w:b/>
          <w:bCs/>
          <w:sz w:val="30"/>
          <w:szCs w:val="30"/>
        </w:rPr>
        <w:t xml:space="preserve">ystems by </w:t>
      </w:r>
      <w:r w:rsidR="0063274C">
        <w:rPr>
          <w:rFonts w:cs="Calibri"/>
          <w:b/>
          <w:bCs/>
          <w:sz w:val="30"/>
          <w:szCs w:val="30"/>
        </w:rPr>
        <w:t>T</w:t>
      </w:r>
      <w:r>
        <w:rPr>
          <w:rFonts w:cs="Calibri"/>
          <w:b/>
          <w:bCs/>
          <w:sz w:val="30"/>
          <w:szCs w:val="30"/>
        </w:rPr>
        <w:t xml:space="preserve">hiolation of </w:t>
      </w:r>
      <w:r w:rsidR="0063274C">
        <w:rPr>
          <w:rFonts w:cs="Calibri"/>
          <w:b/>
          <w:bCs/>
          <w:sz w:val="30"/>
          <w:szCs w:val="30"/>
        </w:rPr>
        <w:t>N</w:t>
      </w:r>
      <w:r>
        <w:rPr>
          <w:rFonts w:cs="Calibri"/>
          <w:b/>
          <w:bCs/>
          <w:sz w:val="30"/>
          <w:szCs w:val="30"/>
        </w:rPr>
        <w:t>on-</w:t>
      </w:r>
      <w:r w:rsidR="000B54E4">
        <w:rPr>
          <w:rFonts w:cs="Calibri"/>
          <w:b/>
          <w:bCs/>
          <w:sz w:val="30"/>
          <w:szCs w:val="30"/>
        </w:rPr>
        <w:t>I</w:t>
      </w:r>
      <w:r>
        <w:rPr>
          <w:rFonts w:cs="Calibri"/>
          <w:b/>
          <w:bCs/>
          <w:sz w:val="30"/>
          <w:szCs w:val="30"/>
        </w:rPr>
        <w:t xml:space="preserve">onic </w:t>
      </w:r>
      <w:r w:rsidR="0063274C">
        <w:rPr>
          <w:rFonts w:cs="Calibri"/>
          <w:b/>
          <w:bCs/>
          <w:sz w:val="30"/>
          <w:szCs w:val="30"/>
        </w:rPr>
        <w:t>S</w:t>
      </w:r>
      <w:r>
        <w:rPr>
          <w:rFonts w:cs="Calibri"/>
          <w:b/>
          <w:bCs/>
          <w:sz w:val="30"/>
          <w:szCs w:val="30"/>
        </w:rPr>
        <w:t>urfactants</w:t>
      </w:r>
    </w:p>
    <w:p w14:paraId="05F65D63" w14:textId="13D7F586" w:rsidR="00082F86" w:rsidRPr="00640D16" w:rsidRDefault="00173CBE" w:rsidP="00640D16">
      <w:r>
        <w:rPr>
          <w:rFonts w:cs="Calibri"/>
          <w:b/>
          <w:bCs/>
        </w:rPr>
        <w:t>Presenting Author: Xhoi Xibri</w:t>
      </w:r>
      <w:r w:rsidR="00AA6727" w:rsidRPr="00AA6727">
        <w:rPr>
          <w:rFonts w:cs="Calibri"/>
          <w:b/>
          <w:bCs/>
          <w:vertAlign w:val="superscript"/>
        </w:rPr>
        <w:t>a</w:t>
      </w:r>
    </w:p>
    <w:p w14:paraId="576962A0" w14:textId="076390E5" w:rsidR="00082F86" w:rsidRDefault="00173CBE">
      <w:pPr>
        <w:spacing w:line="240" w:lineRule="auto"/>
        <w:jc w:val="both"/>
      </w:pPr>
      <w:r>
        <w:rPr>
          <w:rFonts w:cs="Calibri"/>
          <w:sz w:val="20"/>
          <w:szCs w:val="20"/>
        </w:rPr>
        <w:t>Co-authors: Giuseppe Francesco Racaniello</w:t>
      </w:r>
      <w:r w:rsidR="00AA6727" w:rsidRPr="00AA6727">
        <w:rPr>
          <w:rFonts w:cs="Calibri"/>
          <w:sz w:val="20"/>
          <w:szCs w:val="20"/>
          <w:vertAlign w:val="superscript"/>
        </w:rPr>
        <w:t>a</w:t>
      </w:r>
      <w:r>
        <w:rPr>
          <w:rFonts w:cs="Calibri"/>
          <w:sz w:val="20"/>
          <w:szCs w:val="20"/>
        </w:rPr>
        <w:t>, Ilaria Arduino</w:t>
      </w:r>
      <w:r w:rsidR="00AA6727" w:rsidRPr="00AA6727">
        <w:rPr>
          <w:rFonts w:cs="Calibri"/>
          <w:sz w:val="20"/>
          <w:szCs w:val="20"/>
          <w:vertAlign w:val="superscript"/>
        </w:rPr>
        <w:t>a</w:t>
      </w:r>
      <w:r>
        <w:rPr>
          <w:rFonts w:cs="Calibri"/>
          <w:sz w:val="20"/>
          <w:szCs w:val="20"/>
        </w:rPr>
        <w:t>, Valentino Laquintana</w:t>
      </w:r>
      <w:r w:rsidR="00AA6727" w:rsidRPr="00AA6727">
        <w:rPr>
          <w:rFonts w:cs="Calibri"/>
          <w:sz w:val="20"/>
          <w:szCs w:val="20"/>
          <w:vertAlign w:val="superscript"/>
        </w:rPr>
        <w:t>a</w:t>
      </w:r>
      <w:r>
        <w:rPr>
          <w:rFonts w:cs="Calibri"/>
          <w:sz w:val="20"/>
          <w:szCs w:val="20"/>
        </w:rPr>
        <w:t>, Angela Assunta Lopedota</w:t>
      </w:r>
      <w:r w:rsidR="00AA6727" w:rsidRPr="00AA6727">
        <w:rPr>
          <w:rFonts w:cs="Calibri"/>
          <w:sz w:val="20"/>
          <w:szCs w:val="20"/>
          <w:vertAlign w:val="superscript"/>
        </w:rPr>
        <w:t>a</w:t>
      </w:r>
      <w:r>
        <w:rPr>
          <w:rFonts w:cs="Calibri"/>
          <w:sz w:val="20"/>
          <w:szCs w:val="20"/>
        </w:rPr>
        <w:t>, Nunzio Denora</w:t>
      </w:r>
      <w:r w:rsidR="00AA6727" w:rsidRPr="00AA6727">
        <w:rPr>
          <w:rFonts w:cs="Calibri"/>
          <w:sz w:val="20"/>
          <w:szCs w:val="20"/>
          <w:vertAlign w:val="superscript"/>
        </w:rPr>
        <w:t>a</w:t>
      </w:r>
    </w:p>
    <w:p w14:paraId="6584F65E" w14:textId="38EC70D4" w:rsidR="00AA6727" w:rsidRPr="00AA6727" w:rsidRDefault="00AA6727" w:rsidP="00AA6727">
      <w:pPr>
        <w:spacing w:after="0" w:line="276" w:lineRule="auto"/>
        <w:jc w:val="both"/>
        <w:rPr>
          <w:rFonts w:cs="Calibri"/>
          <w:sz w:val="20"/>
          <w:szCs w:val="20"/>
        </w:rPr>
      </w:pPr>
      <w:r w:rsidRPr="00AA6727">
        <w:rPr>
          <w:rFonts w:cs="Calibri"/>
          <w:sz w:val="20"/>
          <w:szCs w:val="20"/>
          <w:vertAlign w:val="superscript"/>
        </w:rPr>
        <w:t>a</w:t>
      </w:r>
      <w:r w:rsidR="00173CBE">
        <w:rPr>
          <w:rFonts w:cs="Calibri"/>
          <w:sz w:val="20"/>
          <w:szCs w:val="20"/>
        </w:rPr>
        <w:t>Department of Pharmacy – Pharmaceutical Sciences, University of Bari “Aldo Moro”, Italy</w:t>
      </w:r>
    </w:p>
    <w:p w14:paraId="5B2ACB9B" w14:textId="0A650BEE" w:rsidR="00082F86" w:rsidRDefault="00A55D58" w:rsidP="00B95E8B">
      <w:pPr>
        <w:spacing w:after="0" w:line="276" w:lineRule="auto"/>
        <w:jc w:val="both"/>
      </w:pPr>
      <w:hyperlink r:id="rId6" w:history="1">
        <w:r w:rsidR="00173CBE">
          <w:rPr>
            <w:rStyle w:val="Hyperlink"/>
            <w:rFonts w:cs="Calibri"/>
            <w:sz w:val="20"/>
            <w:szCs w:val="20"/>
          </w:rPr>
          <w:t>xhoi.xibri@uniba.it</w:t>
        </w:r>
      </w:hyperlink>
    </w:p>
    <w:p w14:paraId="37129C97" w14:textId="77777777" w:rsidR="00B95E8B" w:rsidRPr="007C748C" w:rsidRDefault="00B95E8B" w:rsidP="00B95E8B">
      <w:pPr>
        <w:spacing w:after="0" w:line="240" w:lineRule="auto"/>
        <w:jc w:val="both"/>
        <w:rPr>
          <w:rFonts w:cs="Calibri"/>
          <w:b/>
          <w:bCs/>
          <w:sz w:val="8"/>
          <w:szCs w:val="8"/>
        </w:rPr>
      </w:pPr>
    </w:p>
    <w:p w14:paraId="42B2C7E3" w14:textId="500DA8D4" w:rsidR="00951F0E" w:rsidRDefault="00334DF2" w:rsidP="00B95E8B">
      <w:pPr>
        <w:spacing w:after="0" w:line="240" w:lineRule="auto"/>
        <w:jc w:val="both"/>
      </w:pPr>
      <w:r>
        <w:rPr>
          <w:rFonts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64885" wp14:editId="2335BBA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14415" cy="0"/>
                <wp:effectExtent l="0" t="0" r="0" b="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41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AB284" id="Straight Connector 3" o:spid="_x0000_s1026" type="#_x0000_t32" style="position:absolute;margin-left:0;margin-top:.6pt;width:481.45pt;height:0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5OlQEAACIDAAAOAAAAZHJzL2Uyb0RvYy54bWysUk1v2zAMvQ/YfxB0Xxx3WTEYcXpI0F6G&#10;rcC2H6DIki1AEgVSjZN/P0ppk629FdNBX+R7JB+5vjsGLw4GyUHsZbtYSmGihsHFsZe/f91/+ioF&#10;ZRUH5SGaXp4MybvNxw/rOXXmBibwg0HBJJG6OfVyyjl1TUN6MkHRApKJbLSAQWV+4tgMqGZmD765&#10;WS5vmxlwSAjaEPHv7myUm8pvrdH5h7VksvC95Nxy3bHu+7I3m7XqRlRpcvo5DfWOLIJykYNeqHYq&#10;K/GE7g1VcBqBwOaFhtCAtU6bWgNX0y5fVfNzUsnUWlgcSheZ6P/R6u+HbXxElmFO1FF6xFLF0WIo&#10;J+cnjlWs00Usc8xC8+dt265W7Rcp9IutuQITUn4wEES59JIyKjdOeQsxcksA2yqWOnyjzKEZ+AIo&#10;USPcO+9rZ3wUM4f6vCpxFM+H9SpXLIF3Q/ErCMJxv/UoDqq0ua7SWeb9x60E2Smazn7VdB6A4LIp&#10;GjDARz6uWpTbHoZTlaj+cyOq4/PQlE7//a7o62hv/gAAAP//AwBQSwMEFAAGAAgAAAAhACLgsBfW&#10;AAAABAEAAA8AAABkcnMvZG93bnJldi54bWxMj8FOwzAQRO9I/IO1SFwQdepDRUOcCoHaGwdCP8CJ&#10;lzjCXkex25q/Z+ECx9lZzbxpdiV4ccYlTZE0rFcVCKQh2olGDcf3/f0DiJQNWeMjoYYvTLBrr68a&#10;U9t4oTc8d3kUHEKpNhpcznMtZRocBpNWcUZi7yMuwWSWyyjtYi4cHrxUVbWRwUzEDc7M+Oxw+OxO&#10;QUPa+/7VvqztnVMqFnKHruBB69ub8vQIImPJf8/wg8/o0DJTH09kk/AaeEjmqwLB5najtiD6Xy3b&#10;Rv6Hb78BAAD//wMAUEsBAi0AFAAGAAgAAAAhALaDOJL+AAAA4QEAABMAAAAAAAAAAAAAAAAAAAAA&#10;AFtDb250ZW50X1R5cGVzXS54bWxQSwECLQAUAAYACAAAACEAOP0h/9YAAACUAQAACwAAAAAAAAAA&#10;AAAAAAAvAQAAX3JlbHMvLnJlbHNQSwECLQAUAAYACAAAACEAdVguTpUBAAAiAwAADgAAAAAAAAAA&#10;AAAAAAAuAgAAZHJzL2Uyb0RvYy54bWxQSwECLQAUAAYACAAAACEAIuCwF9YAAAAEAQAADwAAAAAA&#10;AAAAAAAAAADvAwAAZHJzL2Rvd25yZXYueG1sUEsFBgAAAAAEAAQA8wAAAPIEAAAAAA==&#10;" strokeweight=".17625mm">
                <v:stroke joinstyle="miter"/>
                <w10:wrap anchorx="margin"/>
              </v:shape>
            </w:pict>
          </mc:Fallback>
        </mc:AlternateContent>
      </w:r>
      <w:r w:rsidR="00173CBE" w:rsidRPr="0001177B">
        <w:rPr>
          <w:rFonts w:cs="Calibri"/>
          <w:b/>
          <w:bCs/>
          <w:sz w:val="24"/>
          <w:szCs w:val="24"/>
        </w:rPr>
        <w:t>Abstract</w:t>
      </w:r>
    </w:p>
    <w:p w14:paraId="65F6EE09" w14:textId="2359FE0B" w:rsidR="007C4B92" w:rsidRDefault="00D06C91" w:rsidP="00896B6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51D60">
        <w:rPr>
          <w:rFonts w:cs="Calibri"/>
          <w:sz w:val="24"/>
          <w:szCs w:val="24"/>
        </w:rPr>
        <w:t xml:space="preserve">Drug administration via mucosal membranes is preferred over other routes, </w:t>
      </w:r>
      <w:r w:rsidR="00945310" w:rsidRPr="00945310">
        <w:rPr>
          <w:rFonts w:cs="Calibri"/>
          <w:sz w:val="24"/>
          <w:szCs w:val="24"/>
        </w:rPr>
        <w:t>due to higher patient compliance and acceptance.</w:t>
      </w:r>
      <w:r w:rsidR="00945310">
        <w:rPr>
          <w:rFonts w:cs="Calibri"/>
          <w:sz w:val="24"/>
          <w:szCs w:val="24"/>
        </w:rPr>
        <w:t xml:space="preserve"> </w:t>
      </w:r>
      <w:r w:rsidR="00046F12">
        <w:rPr>
          <w:rFonts w:cs="Calibri"/>
          <w:sz w:val="24"/>
          <w:szCs w:val="24"/>
        </w:rPr>
        <w:t xml:space="preserve">To address challenges like </w:t>
      </w:r>
      <w:r w:rsidR="00046F12" w:rsidRPr="00945310">
        <w:rPr>
          <w:rFonts w:cs="Calibri"/>
          <w:sz w:val="24"/>
          <w:szCs w:val="24"/>
        </w:rPr>
        <w:t>poor drug solubility and low bioavailability</w:t>
      </w:r>
      <w:r w:rsidR="00945310" w:rsidRPr="00945310">
        <w:rPr>
          <w:rFonts w:cs="Calibri"/>
          <w:sz w:val="24"/>
          <w:szCs w:val="24"/>
        </w:rPr>
        <w:t xml:space="preserve">, lipid-based formulations such as self-emulsifying drug delivery systems (SEDDS) and nanostructured lipid carriers (NLCs) have been </w:t>
      </w:r>
      <w:r w:rsidR="00945310" w:rsidRPr="00351D60">
        <w:rPr>
          <w:rFonts w:cs="Calibri"/>
          <w:sz w:val="24"/>
          <w:szCs w:val="24"/>
        </w:rPr>
        <w:t>developed.</w:t>
      </w:r>
      <w:r w:rsidR="00945310">
        <w:rPr>
          <w:rFonts w:cs="Calibri"/>
          <w:sz w:val="24"/>
          <w:szCs w:val="24"/>
        </w:rPr>
        <w:t xml:space="preserve"> </w:t>
      </w:r>
      <w:r w:rsidR="00945310" w:rsidRPr="00945310">
        <w:rPr>
          <w:rFonts w:cs="Calibri"/>
          <w:sz w:val="24"/>
          <w:szCs w:val="24"/>
        </w:rPr>
        <w:t xml:space="preserve">Among these, SEDDS stand out for their ease of production and scalability in manufacturing </w:t>
      </w:r>
      <w:r w:rsidR="00945310" w:rsidRPr="00351D60">
        <w:rPr>
          <w:rFonts w:cs="Calibri"/>
          <w:sz w:val="24"/>
          <w:szCs w:val="24"/>
        </w:rPr>
        <w:t>[1].</w:t>
      </w:r>
      <w:r w:rsidR="0061382B">
        <w:rPr>
          <w:rFonts w:cs="Calibri"/>
          <w:sz w:val="24"/>
          <w:szCs w:val="24"/>
        </w:rPr>
        <w:t xml:space="preserve"> </w:t>
      </w:r>
      <w:r w:rsidR="00351D60" w:rsidRPr="00351D60">
        <w:rPr>
          <w:rFonts w:cs="Calibri"/>
          <w:sz w:val="24"/>
          <w:szCs w:val="24"/>
        </w:rPr>
        <w:t>Furthermore, i</w:t>
      </w:r>
      <w:r w:rsidRPr="00351D60">
        <w:rPr>
          <w:rFonts w:cs="Calibri"/>
          <w:sz w:val="24"/>
          <w:szCs w:val="24"/>
        </w:rPr>
        <w:t>n comparison to solid lipid nanoparticles, liquid lipid inside NLCs improves the loading capacity for drugs and causes a stable incorporation of them inside the carrier [</w:t>
      </w:r>
      <w:r w:rsidR="000C37EA">
        <w:rPr>
          <w:rFonts w:cs="Calibri"/>
          <w:sz w:val="24"/>
          <w:szCs w:val="24"/>
        </w:rPr>
        <w:t>2</w:t>
      </w:r>
      <w:r w:rsidRPr="00351D60">
        <w:rPr>
          <w:rFonts w:cs="Calibri"/>
          <w:sz w:val="24"/>
          <w:szCs w:val="24"/>
        </w:rPr>
        <w:t xml:space="preserve">]. </w:t>
      </w:r>
      <w:r w:rsidR="003F0F13" w:rsidRPr="003F0F13">
        <w:rPr>
          <w:rFonts w:cs="Calibri"/>
          <w:sz w:val="24"/>
          <w:szCs w:val="24"/>
        </w:rPr>
        <w:t>A potential approach to address the short residence time in the</w:t>
      </w:r>
      <w:r w:rsidR="003F0F13">
        <w:rPr>
          <w:rFonts w:cs="Calibri"/>
          <w:sz w:val="24"/>
          <w:szCs w:val="24"/>
        </w:rPr>
        <w:t xml:space="preserve"> </w:t>
      </w:r>
      <w:r w:rsidR="003F0F13" w:rsidRPr="003F0F13">
        <w:rPr>
          <w:rFonts w:cs="Calibri"/>
          <w:sz w:val="24"/>
          <w:szCs w:val="24"/>
        </w:rPr>
        <w:t>GIT</w:t>
      </w:r>
      <w:r w:rsidR="003F0F13">
        <w:rPr>
          <w:rFonts w:cs="Calibri"/>
          <w:sz w:val="24"/>
          <w:szCs w:val="24"/>
        </w:rPr>
        <w:t xml:space="preserve"> </w:t>
      </w:r>
      <w:r w:rsidR="003F0F13" w:rsidRPr="003F0F13">
        <w:rPr>
          <w:rFonts w:cs="Calibri"/>
          <w:sz w:val="24"/>
          <w:szCs w:val="24"/>
        </w:rPr>
        <w:t>is to functionalize the surface of these nanocarriers with thiol groups</w:t>
      </w:r>
      <w:r w:rsidR="00411015" w:rsidRPr="00411015">
        <w:rPr>
          <w:rFonts w:cs="Calibri"/>
          <w:sz w:val="24"/>
          <w:szCs w:val="24"/>
        </w:rPr>
        <w:t>, thereby enhancing their mucoadhesive properties [</w:t>
      </w:r>
      <w:r w:rsidR="0014705A">
        <w:rPr>
          <w:rFonts w:cs="Calibri"/>
          <w:sz w:val="24"/>
          <w:szCs w:val="24"/>
        </w:rPr>
        <w:t>3</w:t>
      </w:r>
      <w:r w:rsidR="00411015" w:rsidRPr="00411015">
        <w:rPr>
          <w:rFonts w:cs="Calibri"/>
          <w:sz w:val="24"/>
          <w:szCs w:val="24"/>
        </w:rPr>
        <w:t>].</w:t>
      </w:r>
      <w:r w:rsidR="003F0F13">
        <w:rPr>
          <w:rFonts w:cs="Calibri"/>
          <w:sz w:val="24"/>
          <w:szCs w:val="24"/>
        </w:rPr>
        <w:t xml:space="preserve"> </w:t>
      </w:r>
      <w:r w:rsidRPr="00351D60">
        <w:rPr>
          <w:rFonts w:cs="Calibri"/>
          <w:sz w:val="24"/>
          <w:szCs w:val="24"/>
        </w:rPr>
        <w:t>One common method</w:t>
      </w:r>
      <w:r w:rsidR="002B4276">
        <w:rPr>
          <w:rFonts w:cs="Calibri"/>
          <w:sz w:val="24"/>
          <w:szCs w:val="24"/>
        </w:rPr>
        <w:t xml:space="preserve"> to prepare thiolated nanocarriers</w:t>
      </w:r>
      <w:r w:rsidRPr="00351D60">
        <w:rPr>
          <w:rFonts w:cs="Calibri"/>
          <w:sz w:val="24"/>
          <w:szCs w:val="24"/>
        </w:rPr>
        <w:t xml:space="preserve"> is the coating of already formed nanocarriers with thiolated excipients [</w:t>
      </w:r>
      <w:r w:rsidR="0014705A">
        <w:rPr>
          <w:rFonts w:cs="Calibri"/>
          <w:sz w:val="24"/>
          <w:szCs w:val="24"/>
        </w:rPr>
        <w:t>4</w:t>
      </w:r>
      <w:r w:rsidRPr="00351D60">
        <w:rPr>
          <w:rFonts w:cs="Calibri"/>
          <w:sz w:val="24"/>
          <w:szCs w:val="24"/>
        </w:rPr>
        <w:t xml:space="preserve">]. </w:t>
      </w:r>
      <w:r w:rsidR="00037CBB" w:rsidRPr="00037CBB">
        <w:rPr>
          <w:rFonts w:cs="Calibri"/>
          <w:sz w:val="24"/>
          <w:szCs w:val="24"/>
        </w:rPr>
        <w:t>This study aimed to enhance the benefits of PEGylated nanocarriers by developing SEDDS and NLCs containing thiolated PEGylated surfactants, designed to create nanocarriers with strong mucoadhesive properties</w:t>
      </w:r>
      <w:r w:rsidRPr="00351D60">
        <w:rPr>
          <w:rFonts w:cs="Calibri"/>
          <w:sz w:val="24"/>
          <w:szCs w:val="24"/>
        </w:rPr>
        <w:t xml:space="preserve">. </w:t>
      </w:r>
      <w:r w:rsidR="00037CBB" w:rsidRPr="00037CBB">
        <w:rPr>
          <w:rFonts w:cs="Calibri"/>
          <w:sz w:val="24"/>
          <w:szCs w:val="24"/>
        </w:rPr>
        <w:t>To achieve this, surfactants with both short and long PEG chains</w:t>
      </w:r>
      <w:r w:rsidR="00B77DC1">
        <w:rPr>
          <w:rFonts w:cs="Calibri"/>
          <w:sz w:val="24"/>
          <w:szCs w:val="24"/>
        </w:rPr>
        <w:t xml:space="preserve"> (</w:t>
      </w:r>
      <w:r w:rsidR="00037CBB" w:rsidRPr="00037CBB">
        <w:rPr>
          <w:rFonts w:cs="Calibri"/>
          <w:sz w:val="24"/>
          <w:szCs w:val="24"/>
        </w:rPr>
        <w:t>Fig. 1</w:t>
      </w:r>
      <w:r w:rsidR="00B77DC1">
        <w:rPr>
          <w:rFonts w:cs="Calibri"/>
          <w:sz w:val="24"/>
          <w:szCs w:val="24"/>
        </w:rPr>
        <w:t>)</w:t>
      </w:r>
      <w:r w:rsidR="00037CBB" w:rsidRPr="00037CBB">
        <w:rPr>
          <w:rFonts w:cs="Calibri"/>
          <w:sz w:val="24"/>
          <w:szCs w:val="24"/>
        </w:rPr>
        <w:t xml:space="preserve"> were selected because the length of the PEG chain can impact its conformation and its behavior in biological systems</w:t>
      </w:r>
      <w:r w:rsidRPr="00351D60">
        <w:rPr>
          <w:rFonts w:cs="Calibri"/>
          <w:sz w:val="24"/>
          <w:szCs w:val="24"/>
        </w:rPr>
        <w:t xml:space="preserve">. Polyoxyethylene (10) stearyl ether and polyoxyethylene (100) stearyl ether were thiolated for the first time by substituting the terminal hydroxyl group with a thiol group. The thiolated surfactants were characterized by FT-IR, NMR </w:t>
      </w:r>
      <w:r w:rsidRPr="00BD0F32">
        <w:rPr>
          <w:rFonts w:cs="Calibri"/>
          <w:sz w:val="24"/>
          <w:szCs w:val="24"/>
        </w:rPr>
        <w:t xml:space="preserve">and Ellman’s test. </w:t>
      </w:r>
      <w:r w:rsidR="00121FF8" w:rsidRPr="00BD0F32">
        <w:rPr>
          <w:rFonts w:cs="Calibri"/>
          <w:sz w:val="24"/>
          <w:szCs w:val="24"/>
        </w:rPr>
        <w:t xml:space="preserve">All nanocarriers had a size </w:t>
      </w:r>
      <w:r w:rsidR="00BD0F32" w:rsidRPr="00BD0F32">
        <w:rPr>
          <w:rFonts w:cs="Calibri"/>
          <w:sz w:val="24"/>
          <w:szCs w:val="24"/>
        </w:rPr>
        <w:t>&lt;</w:t>
      </w:r>
      <w:r w:rsidR="00121FF8" w:rsidRPr="00BD0F32">
        <w:rPr>
          <w:rFonts w:cs="Calibri"/>
          <w:sz w:val="24"/>
          <w:szCs w:val="24"/>
        </w:rPr>
        <w:t>250 nm, a maximum PDI of 0.3 and a ζ potential &lt; -9.0 mV. The mucoadhesive properties and increase in viscosity of SEDDS and NLCs ranked: PSE</w:t>
      </w:r>
      <w:r w:rsidR="00121FF8" w:rsidRPr="00BD0F32">
        <w:rPr>
          <w:rFonts w:cs="Calibri"/>
          <w:sz w:val="24"/>
          <w:szCs w:val="24"/>
          <w:vertAlign w:val="subscript"/>
        </w:rPr>
        <w:t>100</w:t>
      </w:r>
      <w:r w:rsidR="00121FF8" w:rsidRPr="00BD0F32">
        <w:rPr>
          <w:rFonts w:cs="Calibri"/>
          <w:sz w:val="24"/>
          <w:szCs w:val="24"/>
        </w:rPr>
        <w:t>-OH &lt; PSE</w:t>
      </w:r>
      <w:r w:rsidR="00121FF8" w:rsidRPr="00BD0F32">
        <w:rPr>
          <w:rFonts w:cs="Calibri"/>
          <w:sz w:val="24"/>
          <w:szCs w:val="24"/>
          <w:vertAlign w:val="subscript"/>
        </w:rPr>
        <w:t>10</w:t>
      </w:r>
      <w:r w:rsidR="00121FF8" w:rsidRPr="00BD0F32">
        <w:rPr>
          <w:rFonts w:cs="Calibri"/>
          <w:sz w:val="24"/>
          <w:szCs w:val="24"/>
        </w:rPr>
        <w:t>-OH &lt; PSE</w:t>
      </w:r>
      <w:r w:rsidR="00121FF8" w:rsidRPr="00BD0F32">
        <w:rPr>
          <w:rFonts w:cs="Calibri"/>
          <w:sz w:val="24"/>
          <w:szCs w:val="24"/>
          <w:vertAlign w:val="subscript"/>
        </w:rPr>
        <w:t>100</w:t>
      </w:r>
      <w:r w:rsidR="00121FF8" w:rsidRPr="00BD0F32">
        <w:rPr>
          <w:rFonts w:cs="Calibri"/>
          <w:sz w:val="24"/>
          <w:szCs w:val="24"/>
        </w:rPr>
        <w:t>-SH &lt; PSE</w:t>
      </w:r>
      <w:r w:rsidR="00121FF8" w:rsidRPr="00BD0F32">
        <w:rPr>
          <w:rFonts w:cs="Calibri"/>
          <w:sz w:val="24"/>
          <w:szCs w:val="24"/>
          <w:vertAlign w:val="subscript"/>
        </w:rPr>
        <w:t>10</w:t>
      </w:r>
      <w:r w:rsidR="00121FF8" w:rsidRPr="00BD0F32">
        <w:rPr>
          <w:rFonts w:cs="Calibri"/>
          <w:sz w:val="24"/>
          <w:szCs w:val="24"/>
        </w:rPr>
        <w:t>-SH.</w:t>
      </w:r>
      <w:r w:rsidR="00960384" w:rsidRPr="00BD0F32">
        <w:rPr>
          <w:rFonts w:cs="Calibri"/>
          <w:sz w:val="24"/>
          <w:szCs w:val="24"/>
        </w:rPr>
        <w:t xml:space="preserve"> </w:t>
      </w:r>
      <w:r w:rsidR="009D073E" w:rsidRPr="0067010C">
        <w:rPr>
          <w:rFonts w:cs="Calibri"/>
          <w:sz w:val="24"/>
          <w:szCs w:val="24"/>
        </w:rPr>
        <w:t>All formulations of these drug delivery systems have been tested in mucosal permeability models</w:t>
      </w:r>
      <w:r w:rsidR="009D073E">
        <w:rPr>
          <w:rFonts w:cs="Calibri"/>
          <w:sz w:val="24"/>
          <w:szCs w:val="24"/>
        </w:rPr>
        <w:t>,</w:t>
      </w:r>
      <w:r w:rsidR="009D073E" w:rsidRPr="0067010C">
        <w:rPr>
          <w:rFonts w:cs="Calibri"/>
          <w:sz w:val="24"/>
          <w:szCs w:val="24"/>
        </w:rPr>
        <w:t xml:space="preserve"> developed in our laboratory.</w:t>
      </w:r>
      <w:r w:rsidR="009D073E">
        <w:rPr>
          <w:rFonts w:cs="Calibri"/>
          <w:sz w:val="24"/>
          <w:szCs w:val="24"/>
        </w:rPr>
        <w:t xml:space="preserve"> </w:t>
      </w:r>
      <w:r w:rsidR="00BD0F32" w:rsidRPr="00BD0F32">
        <w:rPr>
          <w:rFonts w:cs="Calibri"/>
          <w:sz w:val="24"/>
          <w:szCs w:val="24"/>
        </w:rPr>
        <w:t>T</w:t>
      </w:r>
      <w:r w:rsidR="00960384" w:rsidRPr="00BD0F32">
        <w:rPr>
          <w:rFonts w:cs="Calibri"/>
          <w:sz w:val="24"/>
          <w:szCs w:val="24"/>
        </w:rPr>
        <w:t>he short chain PSE</w:t>
      </w:r>
      <w:r w:rsidR="00960384" w:rsidRPr="00BD0F32">
        <w:rPr>
          <w:rFonts w:cs="Calibri"/>
          <w:sz w:val="24"/>
          <w:szCs w:val="24"/>
          <w:vertAlign w:val="subscript"/>
        </w:rPr>
        <w:t>10</w:t>
      </w:r>
      <w:r w:rsidR="00960384" w:rsidRPr="00BD0F32">
        <w:rPr>
          <w:rFonts w:cs="Calibri"/>
          <w:sz w:val="24"/>
          <w:szCs w:val="24"/>
        </w:rPr>
        <w:t>-SH showed higher mucus interactions than the long chain PSE</w:t>
      </w:r>
      <w:r w:rsidR="00960384" w:rsidRPr="00BD0F32">
        <w:rPr>
          <w:rFonts w:cs="Calibri"/>
          <w:sz w:val="24"/>
          <w:szCs w:val="24"/>
          <w:vertAlign w:val="subscript"/>
        </w:rPr>
        <w:t>100</w:t>
      </w:r>
      <w:r w:rsidR="00960384" w:rsidRPr="00BD0F32">
        <w:rPr>
          <w:rFonts w:cs="Calibri"/>
          <w:sz w:val="24"/>
          <w:szCs w:val="24"/>
        </w:rPr>
        <w:t>-SH for both SEDDS and NLCs.</w:t>
      </w:r>
    </w:p>
    <w:p w14:paraId="671ADB46" w14:textId="5F78E236" w:rsidR="009473B4" w:rsidRPr="00411015" w:rsidRDefault="00B95E8B" w:rsidP="00896B6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912E2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7535C8F" wp14:editId="178F3201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318643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436" y="21194"/>
                <wp:lineTo x="2143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7"/>
                    <a:stretch/>
                  </pic:blipFill>
                  <pic:spPr bwMode="auto">
                    <a:xfrm>
                      <a:off x="0" y="0"/>
                      <a:ext cx="3186430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D7A72" w14:textId="154DA9D4" w:rsidR="00783286" w:rsidRDefault="00783286" w:rsidP="00776A74">
      <w:pPr>
        <w:spacing w:after="0"/>
        <w:jc w:val="both"/>
        <w:rPr>
          <w:rFonts w:cs="Calibri"/>
          <w:b/>
          <w:bCs/>
        </w:rPr>
      </w:pPr>
    </w:p>
    <w:p w14:paraId="373B91D9" w14:textId="77777777" w:rsidR="00783286" w:rsidRDefault="00783286" w:rsidP="00776A74">
      <w:pPr>
        <w:spacing w:after="0"/>
        <w:jc w:val="both"/>
        <w:rPr>
          <w:rFonts w:cs="Calibri"/>
          <w:b/>
          <w:bCs/>
        </w:rPr>
      </w:pPr>
    </w:p>
    <w:p w14:paraId="3B25D127" w14:textId="5B03A1EC" w:rsidR="00783286" w:rsidRDefault="00783286" w:rsidP="00776A74">
      <w:pPr>
        <w:spacing w:after="0"/>
        <w:jc w:val="both"/>
        <w:rPr>
          <w:rFonts w:cs="Calibri"/>
          <w:b/>
          <w:bCs/>
        </w:rPr>
      </w:pPr>
    </w:p>
    <w:p w14:paraId="7FD7DD33" w14:textId="501416AB" w:rsidR="00783286" w:rsidRDefault="00783286" w:rsidP="00776A74">
      <w:pPr>
        <w:spacing w:after="0"/>
        <w:jc w:val="both"/>
        <w:rPr>
          <w:rFonts w:cs="Calibri"/>
          <w:b/>
          <w:bCs/>
        </w:rPr>
      </w:pPr>
    </w:p>
    <w:p w14:paraId="24218B32" w14:textId="08FE370F" w:rsidR="00783286" w:rsidRDefault="00783286" w:rsidP="00776A74">
      <w:pPr>
        <w:spacing w:after="0"/>
        <w:jc w:val="both"/>
        <w:rPr>
          <w:rFonts w:cs="Calibri"/>
          <w:b/>
          <w:bCs/>
        </w:rPr>
      </w:pPr>
    </w:p>
    <w:p w14:paraId="3FB87460" w14:textId="743C7304" w:rsidR="00783286" w:rsidRDefault="00783286" w:rsidP="00776A74">
      <w:pPr>
        <w:spacing w:after="0"/>
        <w:jc w:val="both"/>
        <w:rPr>
          <w:rFonts w:cs="Calibri"/>
          <w:b/>
          <w:bCs/>
        </w:rPr>
      </w:pPr>
    </w:p>
    <w:p w14:paraId="3E529656" w14:textId="34DE709C" w:rsidR="00783286" w:rsidRDefault="00783286" w:rsidP="00776A74">
      <w:pPr>
        <w:spacing w:after="0"/>
        <w:jc w:val="both"/>
        <w:rPr>
          <w:rFonts w:cs="Calibri"/>
          <w:b/>
          <w:bCs/>
        </w:rPr>
      </w:pPr>
    </w:p>
    <w:p w14:paraId="177D8143" w14:textId="69677BF7" w:rsidR="00783286" w:rsidRDefault="00B95E8B" w:rsidP="00776A74">
      <w:pPr>
        <w:spacing w:after="0"/>
        <w:jc w:val="both"/>
        <w:rPr>
          <w:rFonts w:cs="Calibri"/>
          <w:b/>
          <w:bCs/>
        </w:rPr>
      </w:pPr>
      <w:r w:rsidRPr="003912E2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9AE9C0" wp14:editId="654DA482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35102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6D13C" w14:textId="59A5C749" w:rsidR="003912E2" w:rsidRDefault="003912E2">
                            <w:r w:rsidRPr="003912E2">
                              <w:rPr>
                                <w:b/>
                                <w:bCs/>
                              </w:rPr>
                              <w:t>Figure 1.</w:t>
                            </w:r>
                            <w:r>
                              <w:t xml:space="preserve"> </w:t>
                            </w:r>
                            <w:r w:rsidR="00212074">
                              <w:t>Synthetic</w:t>
                            </w:r>
                            <w:r>
                              <w:t xml:space="preserve"> pathway for the preparation of thiolated surfactants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AE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5pt;width:342.6pt;height:21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DM+AEAAM0DAAAOAAAAZHJzL2Uyb0RvYy54bWysU8tu2zAQvBfoPxC815Jd20kEy0GaNEWB&#10;9AEk/YA1RVlESS5L0pbcr++SchyjvQXVgSC13Nmd2eHqejCa7aUPCm3Np5OSM2kFNspua/7j6f7d&#10;JWchgm1Ao5U1P8jAr9dv36x6V8kZdqgb6RmB2FD1ruZdjK4qiiA6aSBM0ElLwRa9gUhHvy0aDz2h&#10;G13MynJZ9Ogb51HIEOjv3Rjk64zftlLEb20bZGS65tRbzKvP6yatxXoF1daD65Q4tgGv6MKAslT0&#10;BHUHEdjOq3+gjBIeA7ZxItAU2LZKyMyB2EzLv9g8duBk5kLiBHeSKfw/WPF1/+i+exaHDzjQADOJ&#10;4B5Q/AzM4m0HditvvMe+k9BQ4WmSrOhdqI6pSepQhQSy6b9gQ0OGXcQMNLTeJFWIJyN0GsDhJLoc&#10;IhP0c/5+MS1nFBIUmy2XF2WeSgHVc7bzIX6SaFja1NzTUDM67B9CTN1A9XwlFbN4r7TOg9WW9TW/&#10;WswWOeEsYlQk32llan5Zpm90QiL50TY5OYLS454KaHtknYiOlOOwGehiYr/B5kD8PY7+ovdAmw79&#10;b8568lbNw68deMmZ/mxJw6vpfJ7MmA/zxUVi788jm/MIWEFQNY+cjdvbmA08cr0hrVuVZXjp5Ngr&#10;eSarc/R3MuX5Od96eYXrPwAAAP//AwBQSwMEFAAGAAgAAAAhAH92Vq7aAAAABAEAAA8AAABkcnMv&#10;ZG93bnJldi54bWxMj81OwzAQhO9IvIO1SNyoTdRUbcimQiCuIMqP1Ns23iYR8TqK3Sa8PeYEx9GM&#10;Zr4pt7Pr1ZnH0HlBuF0YUCy1t500CO9vTzdrUCGSWOq9MMI3B9hWlxclFdZP8srnXWxUKpFQEEIb&#10;41BoHeqWHYWFH1iSd/Sjo5jk2Gg70pTKXa8zY1baUSdpoaWBH1quv3Ynh/DxfNx/Ls1L8+jyYfKz&#10;0eI2GvH6ar6/AxV5jn9h+MVP6FAlpoM/iQ2qR0hHIkIOKnmrdZ6BOiAssxx0Ver/8NUPAAAA//8D&#10;AFBLAQItABQABgAIAAAAIQC2gziS/gAAAOEBAAATAAAAAAAAAAAAAAAAAAAAAABbQ29udGVudF9U&#10;eXBlc10ueG1sUEsBAi0AFAAGAAgAAAAhADj9If/WAAAAlAEAAAsAAAAAAAAAAAAAAAAALwEAAF9y&#10;ZWxzLy5yZWxzUEsBAi0AFAAGAAgAAAAhAP9csMz4AQAAzQMAAA4AAAAAAAAAAAAAAAAALgIAAGRy&#10;cy9lMm9Eb2MueG1sUEsBAi0AFAAGAAgAAAAhAH92Vq7aAAAABAEAAA8AAAAAAAAAAAAAAAAAUgQA&#10;AGRycy9kb3ducmV2LnhtbFBLBQYAAAAABAAEAPMAAABZBQAAAAA=&#10;" filled="f" stroked="f">
                <v:textbox>
                  <w:txbxContent>
                    <w:p w14:paraId="1AB6D13C" w14:textId="59A5C749" w:rsidR="003912E2" w:rsidRDefault="003912E2">
                      <w:r w:rsidRPr="003912E2">
                        <w:rPr>
                          <w:b/>
                          <w:bCs/>
                        </w:rPr>
                        <w:t>Figure 1.</w:t>
                      </w:r>
                      <w:r>
                        <w:t xml:space="preserve"> </w:t>
                      </w:r>
                      <w:r w:rsidR="00212074">
                        <w:t>Synthetic</w:t>
                      </w:r>
                      <w:r>
                        <w:t xml:space="preserve"> pathway for the preparation of thiolated surfactants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6A1D0B" w14:textId="4AE5B542" w:rsidR="004E7FE7" w:rsidRPr="007C748C" w:rsidRDefault="004E7FE7" w:rsidP="00783286">
      <w:pPr>
        <w:spacing w:after="0"/>
        <w:jc w:val="both"/>
        <w:rPr>
          <w:rFonts w:cs="Calibri"/>
          <w:sz w:val="20"/>
          <w:szCs w:val="20"/>
        </w:rPr>
      </w:pPr>
    </w:p>
    <w:p w14:paraId="043D30A6" w14:textId="75A72148" w:rsidR="00783286" w:rsidRPr="00783286" w:rsidRDefault="00783286" w:rsidP="00783286">
      <w:pPr>
        <w:spacing w:after="0"/>
        <w:jc w:val="both"/>
        <w:rPr>
          <w:rFonts w:cs="Calibri"/>
        </w:rPr>
      </w:pPr>
      <w:r w:rsidRPr="000C37EA">
        <w:rPr>
          <w:rFonts w:cs="Calibri"/>
          <w:b/>
          <w:bCs/>
          <w:sz w:val="24"/>
          <w:szCs w:val="24"/>
        </w:rPr>
        <w:t>References</w:t>
      </w:r>
    </w:p>
    <w:p w14:paraId="3A800581" w14:textId="78F77692" w:rsidR="00783286" w:rsidRDefault="00783286" w:rsidP="00783286">
      <w:pPr>
        <w:spacing w:after="0"/>
        <w:jc w:val="both"/>
        <w:rPr>
          <w:rFonts w:cs="Calibri"/>
        </w:rPr>
      </w:pPr>
      <w:r w:rsidRPr="000C37EA">
        <w:rPr>
          <w:rFonts w:cs="Calibri"/>
          <w:b/>
          <w:bCs/>
        </w:rPr>
        <w:t>[1]</w:t>
      </w:r>
      <w:r w:rsidRPr="000C37EA">
        <w:rPr>
          <w:rFonts w:cs="Calibri"/>
        </w:rPr>
        <w:t xml:space="preserve"> A. Mahmood, A. Bernkop-Schnürch, SEDDS: A game changing approach for the</w:t>
      </w:r>
      <w:r>
        <w:rPr>
          <w:rFonts w:cs="Calibri"/>
        </w:rPr>
        <w:t xml:space="preserve"> </w:t>
      </w:r>
      <w:r w:rsidRPr="000C37EA">
        <w:rPr>
          <w:rFonts w:cs="Calibri"/>
        </w:rPr>
        <w:t>oral administration of hydrophilic macromolecular drugs, Adv. Drug Deliv. Rev.</w:t>
      </w:r>
      <w:r>
        <w:rPr>
          <w:rFonts w:cs="Calibri"/>
        </w:rPr>
        <w:t xml:space="preserve"> </w:t>
      </w:r>
      <w:r w:rsidRPr="000C37EA">
        <w:rPr>
          <w:rFonts w:cs="Calibri"/>
        </w:rPr>
        <w:t>142 (2019) 91–101</w:t>
      </w:r>
    </w:p>
    <w:p w14:paraId="5C5FFE5A" w14:textId="77777777" w:rsidR="00783286" w:rsidRDefault="00783286" w:rsidP="00783286">
      <w:pPr>
        <w:spacing w:after="0"/>
        <w:jc w:val="both"/>
        <w:rPr>
          <w:rFonts w:cs="Calibri"/>
        </w:rPr>
      </w:pPr>
      <w:r w:rsidRPr="000C37EA">
        <w:rPr>
          <w:rFonts w:cs="Calibri"/>
          <w:b/>
          <w:bCs/>
        </w:rPr>
        <w:t>[</w:t>
      </w:r>
      <w:r>
        <w:rPr>
          <w:rFonts w:cs="Calibri"/>
          <w:b/>
          <w:bCs/>
        </w:rPr>
        <w:t>2</w:t>
      </w:r>
      <w:r w:rsidRPr="000C37EA">
        <w:rPr>
          <w:rFonts w:cs="Calibri"/>
          <w:b/>
          <w:bCs/>
        </w:rPr>
        <w:t>]</w:t>
      </w:r>
      <w:r w:rsidRPr="000C37EA">
        <w:rPr>
          <w:rFonts w:cs="Calibri"/>
        </w:rPr>
        <w:t xml:space="preserve"> T. Andreani, A.S. Macedo, J.F. Fangueiro, M.H.A. Santana, M. Silva, E.B. Souto,</w:t>
      </w:r>
      <w:r>
        <w:rPr>
          <w:rFonts w:cs="Calibri"/>
        </w:rPr>
        <w:t xml:space="preserve"> </w:t>
      </w:r>
      <w:r w:rsidRPr="000C37EA">
        <w:rPr>
          <w:rFonts w:cs="Calibri"/>
        </w:rPr>
        <w:t>Current State-of-Art and New Trends on Lipid Nanoparticles (SLN and NLC) for</w:t>
      </w:r>
      <w:r>
        <w:rPr>
          <w:rFonts w:cs="Calibri"/>
        </w:rPr>
        <w:t xml:space="preserve"> </w:t>
      </w:r>
      <w:r w:rsidRPr="000C37EA">
        <w:rPr>
          <w:rFonts w:cs="Calibri"/>
        </w:rPr>
        <w:t>Oral Drug Delivery, 2012 (2012)</w:t>
      </w:r>
    </w:p>
    <w:p w14:paraId="69ADB063" w14:textId="0BD2B5CB" w:rsidR="00783286" w:rsidRDefault="00783286" w:rsidP="00783286">
      <w:pPr>
        <w:spacing w:after="0"/>
        <w:jc w:val="both"/>
        <w:rPr>
          <w:rFonts w:cs="Calibri"/>
        </w:rPr>
      </w:pPr>
      <w:r w:rsidRPr="000C37EA">
        <w:rPr>
          <w:rFonts w:cs="Calibri"/>
          <w:b/>
          <w:bCs/>
        </w:rPr>
        <w:t>[</w:t>
      </w:r>
      <w:r>
        <w:rPr>
          <w:rFonts w:cs="Calibri"/>
          <w:b/>
          <w:bCs/>
        </w:rPr>
        <w:t>3</w:t>
      </w:r>
      <w:r w:rsidRPr="000C37EA">
        <w:rPr>
          <w:rFonts w:cs="Calibri"/>
          <w:b/>
          <w:bCs/>
        </w:rPr>
        <w:t>]</w:t>
      </w:r>
      <w:r w:rsidRPr="000C37EA">
        <w:rPr>
          <w:rFonts w:cs="Calibri"/>
        </w:rPr>
        <w:t xml:space="preserve"> N. Hock, G.F. Racaniello, S. Aspinall, N. Denora, V. V Khutoryanskiy, A. Bernkop-Schnürch, Thiolated Nanoparticles for Biomedical Applications: Mimicking the</w:t>
      </w:r>
      <w:r>
        <w:rPr>
          <w:rFonts w:cs="Calibri"/>
        </w:rPr>
        <w:t xml:space="preserve"> </w:t>
      </w:r>
      <w:r w:rsidRPr="000C37EA">
        <w:rPr>
          <w:rFonts w:cs="Calibri"/>
        </w:rPr>
        <w:t>Workhorses of Our Body, Adv. Sci. (Weinheim, Baden-Wurttemberg, Ger. 9 (2022)</w:t>
      </w:r>
    </w:p>
    <w:p w14:paraId="787082C1" w14:textId="696B9381" w:rsidR="00BD0F32" w:rsidRDefault="004E7FE7" w:rsidP="00776A74">
      <w:pPr>
        <w:spacing w:after="0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3DB10" wp14:editId="4BFC4F33">
                <wp:simplePos x="0" y="0"/>
                <wp:positionH relativeFrom="margin">
                  <wp:align>left</wp:align>
                </wp:positionH>
                <wp:positionV relativeFrom="paragraph">
                  <wp:posOffset>508000</wp:posOffset>
                </wp:positionV>
                <wp:extent cx="6115049" cy="0"/>
                <wp:effectExtent l="0" t="0" r="0" b="0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4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181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40pt;width:481.5pt;height:0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UolgEAACIDAAAOAAAAZHJzL2Uyb0RvYy54bWysUk1v2zAMvQ/YfxB0X2x3bbEZcXpI0F2G&#10;rcDWH6DIki1AEgVSi5N/P0ppk33chumgL/I9ko9cPxyDFweD5CAOslu1UpioYXRxGuTz98d3H6Sg&#10;rOKoPEQzyJMh+bB5+2a9pN7cwAx+NCiYJFK/pEHOOae+aUjPJihaQTKRjRYwqMxPnJoR1cLswTc3&#10;bXvfLIBjQtCGiH93Z6PcVH5rjc5frSWThR8k55brjnXfl73ZrFU/oUqz0y9pqH/IIigXOeiFaqey&#10;Ej/Q/UUVnEYgsHmlITRgrdOm1sDVdO0f1XybVTK1FhaH0kUm+n+0+sthG5+QZVgS9ZSesFRxtBjK&#10;yfmJYxXrdBHLHLPQ/HnfdXft7Ucp9KutuQITUv5kIIhyGSRlVG6a8xZi5JYAdlUsdfhMmUMz8BVQ&#10;okZ4dN7XzvgoFg71/vaO4yieD+tVrlgC78biVxCE037rURxUaXNdpbPM+5tbCbJTNJ/9quk8AMFl&#10;UzRggI98XLUotz2MpypR/edGVMeXoSmd/vVd0dfR3vwEAAD//wMAUEsDBBQABgAIAAAAIQAasXpW&#10;2AAAAAYBAAAPAAAAZHJzL2Rvd25yZXYueG1sTI9NTsMwEIX3SL2DNUjdIOo0SFUJcaoK1O5YEDiA&#10;Ew9xhD2OYrd1b88gFrCanzd675t6l70TZ5zjGEjBelWAQOqDGWlQ8PF+uN+CiEmT0S4QKrhihF2z&#10;uKl1ZcKF3vDcpkGwCcVKK7ApTZWUsbfodVyFCYm1zzB7nXicB2lmfWFz72RZFBvp9UicYPWEzxb7&#10;r/bkFcSD617Ny9rc2bIMmeyxzXhUanmb908gEub0dww/+IwODTN14UQmCqeAH0kKtgVXVh83D9x0&#10;vwvZ1PI/fvMNAAD//wMAUEsBAi0AFAAGAAgAAAAhALaDOJL+AAAA4QEAABMAAAAAAAAAAAAAAAAA&#10;AAAAAFtDb250ZW50X1R5cGVzXS54bWxQSwECLQAUAAYACAAAACEAOP0h/9YAAACUAQAACwAAAAAA&#10;AAAAAAAAAAAvAQAAX3JlbHMvLnJlbHNQSwECLQAUAAYACAAAACEA3UBFKJYBAAAiAwAADgAAAAAA&#10;AAAAAAAAAAAuAgAAZHJzL2Uyb0RvYy54bWxQSwECLQAUAAYACAAAACEAGrF6VtgAAAAGAQAADwAA&#10;AAAAAAAAAAAAAADwAwAAZHJzL2Rvd25yZXYueG1sUEsFBgAAAAAEAAQA8wAAAPUEAAAAAA==&#10;" strokeweight=".17625mm">
                <v:stroke joinstyle="miter"/>
                <w10:wrap anchorx="margin"/>
              </v:shape>
            </w:pict>
          </mc:Fallback>
        </mc:AlternateContent>
      </w:r>
      <w:r w:rsidR="00783286" w:rsidRPr="0014705A">
        <w:rPr>
          <w:rFonts w:cs="Calibri"/>
          <w:b/>
          <w:bCs/>
        </w:rPr>
        <w:t>[</w:t>
      </w:r>
      <w:r w:rsidR="00783286">
        <w:rPr>
          <w:rFonts w:cs="Calibri"/>
          <w:b/>
          <w:bCs/>
        </w:rPr>
        <w:t>4</w:t>
      </w:r>
      <w:r w:rsidR="00783286" w:rsidRPr="0014705A">
        <w:rPr>
          <w:rFonts w:cs="Calibri"/>
          <w:b/>
          <w:bCs/>
        </w:rPr>
        <w:t>]</w:t>
      </w:r>
      <w:r w:rsidR="00783286" w:rsidRPr="0014705A">
        <w:rPr>
          <w:rFonts w:cs="Calibri"/>
        </w:rPr>
        <w:t xml:space="preserve"> M. Greindl, A. Bernkop-Schnürch, Development of a novel method for the</w:t>
      </w:r>
      <w:r w:rsidR="00783286">
        <w:rPr>
          <w:rFonts w:cs="Calibri"/>
        </w:rPr>
        <w:t xml:space="preserve"> </w:t>
      </w:r>
      <w:r w:rsidR="00783286" w:rsidRPr="0014705A">
        <w:rPr>
          <w:rFonts w:cs="Calibri"/>
        </w:rPr>
        <w:t>preparation of thiolated polyacrylic acid nanoparticles, Pharm. Res. 23 (2006)</w:t>
      </w:r>
      <w:r w:rsidR="00783286">
        <w:rPr>
          <w:rFonts w:cs="Calibri"/>
        </w:rPr>
        <w:t xml:space="preserve"> </w:t>
      </w:r>
      <w:r w:rsidR="00783286" w:rsidRPr="0014705A">
        <w:rPr>
          <w:rFonts w:cs="Calibri"/>
        </w:rPr>
        <w:t>2183–2189</w:t>
      </w:r>
    </w:p>
    <w:sectPr w:rsidR="00BD0F32" w:rsidSect="0048031D">
      <w:footerReference w:type="default" r:id="rId8"/>
      <w:pgSz w:w="11906" w:h="16838"/>
      <w:pgMar w:top="624" w:right="1077" w:bottom="62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C75F" w14:textId="77777777" w:rsidR="00A55D58" w:rsidRDefault="00A55D58">
      <w:pPr>
        <w:spacing w:after="0" w:line="240" w:lineRule="auto"/>
      </w:pPr>
      <w:r>
        <w:separator/>
      </w:r>
    </w:p>
  </w:endnote>
  <w:endnote w:type="continuationSeparator" w:id="0">
    <w:p w14:paraId="0DEA3F90" w14:textId="77777777" w:rsidR="00A55D58" w:rsidRDefault="00A5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CCE7" w14:textId="21CF8937" w:rsidR="00B36C7F" w:rsidRPr="0048031D" w:rsidRDefault="00173CBE">
    <w:pPr>
      <w:pStyle w:val="Footer"/>
      <w:tabs>
        <w:tab w:val="clear" w:pos="9026"/>
      </w:tabs>
      <w:rPr>
        <w:sz w:val="28"/>
        <w:szCs w:val="28"/>
      </w:rPr>
    </w:pPr>
    <w:r w:rsidRPr="0048031D">
      <w:rPr>
        <w:b/>
        <w:bCs/>
        <w:sz w:val="28"/>
        <w:szCs w:val="28"/>
      </w:rPr>
      <w:t>nanoBalkan2024</w:t>
    </w:r>
    <w:r w:rsidRPr="0048031D">
      <w:rPr>
        <w:sz w:val="28"/>
        <w:szCs w:val="28"/>
      </w:rPr>
      <w:tab/>
    </w:r>
    <w:r w:rsidR="0048031D" w:rsidRPr="0048031D">
      <w:rPr>
        <w:sz w:val="28"/>
        <w:szCs w:val="28"/>
      </w:rPr>
      <w:t xml:space="preserve">                                                                          </w:t>
    </w:r>
    <w:r w:rsidR="0048031D">
      <w:rPr>
        <w:sz w:val="28"/>
        <w:szCs w:val="28"/>
      </w:rPr>
      <w:t xml:space="preserve">        </w:t>
    </w:r>
    <w:r w:rsidR="00411015">
      <w:rPr>
        <w:sz w:val="28"/>
        <w:szCs w:val="28"/>
      </w:rPr>
      <w:t xml:space="preserve">           </w:t>
    </w:r>
    <w:r w:rsidR="0048031D">
      <w:rPr>
        <w:sz w:val="28"/>
        <w:szCs w:val="28"/>
      </w:rPr>
      <w:t xml:space="preserve"> </w:t>
    </w:r>
    <w:r w:rsidR="0048031D" w:rsidRPr="0048031D">
      <w:rPr>
        <w:sz w:val="28"/>
        <w:szCs w:val="28"/>
      </w:rPr>
      <w:t>Tirana (Albania)</w:t>
    </w:r>
    <w:r w:rsidRPr="0048031D">
      <w:rPr>
        <w:sz w:val="28"/>
        <w:szCs w:val="28"/>
      </w:rPr>
      <w:t xml:space="preserve"> </w:t>
    </w:r>
    <w:r w:rsidR="00D06C91" w:rsidRPr="0048031D">
      <w:rPr>
        <w:sz w:val="28"/>
        <w:szCs w:val="28"/>
      </w:rP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8006" w14:textId="77777777" w:rsidR="00A55D58" w:rsidRDefault="00A55D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C5A4F2" w14:textId="77777777" w:rsidR="00A55D58" w:rsidRDefault="00A55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6"/>
    <w:rsid w:val="000039D1"/>
    <w:rsid w:val="0001177B"/>
    <w:rsid w:val="000308CD"/>
    <w:rsid w:val="00037CBB"/>
    <w:rsid w:val="000426C0"/>
    <w:rsid w:val="00046F12"/>
    <w:rsid w:val="00082F86"/>
    <w:rsid w:val="000A53E4"/>
    <w:rsid w:val="000B54E4"/>
    <w:rsid w:val="000C37EA"/>
    <w:rsid w:val="00103F1E"/>
    <w:rsid w:val="00106113"/>
    <w:rsid w:val="001074AC"/>
    <w:rsid w:val="00121FF8"/>
    <w:rsid w:val="0014705A"/>
    <w:rsid w:val="00171CAC"/>
    <w:rsid w:val="00173CBE"/>
    <w:rsid w:val="00210E6C"/>
    <w:rsid w:val="00212074"/>
    <w:rsid w:val="002448AD"/>
    <w:rsid w:val="00294830"/>
    <w:rsid w:val="002A3E32"/>
    <w:rsid w:val="002B4276"/>
    <w:rsid w:val="00334DF2"/>
    <w:rsid w:val="00351D60"/>
    <w:rsid w:val="003632F6"/>
    <w:rsid w:val="003912E2"/>
    <w:rsid w:val="003D1D48"/>
    <w:rsid w:val="003F0F13"/>
    <w:rsid w:val="00411015"/>
    <w:rsid w:val="0048031D"/>
    <w:rsid w:val="004E7FE7"/>
    <w:rsid w:val="00515BED"/>
    <w:rsid w:val="0055387D"/>
    <w:rsid w:val="00557B4F"/>
    <w:rsid w:val="005D231B"/>
    <w:rsid w:val="005E72C0"/>
    <w:rsid w:val="0061382B"/>
    <w:rsid w:val="0063274C"/>
    <w:rsid w:val="00640D16"/>
    <w:rsid w:val="00644E9C"/>
    <w:rsid w:val="0067010C"/>
    <w:rsid w:val="0075472F"/>
    <w:rsid w:val="00765D01"/>
    <w:rsid w:val="00776A74"/>
    <w:rsid w:val="00783286"/>
    <w:rsid w:val="00786948"/>
    <w:rsid w:val="007C4B92"/>
    <w:rsid w:val="007C5D5C"/>
    <w:rsid w:val="007C748C"/>
    <w:rsid w:val="007D008E"/>
    <w:rsid w:val="007D61DD"/>
    <w:rsid w:val="007D6B73"/>
    <w:rsid w:val="007E3D97"/>
    <w:rsid w:val="007F4A52"/>
    <w:rsid w:val="0083200F"/>
    <w:rsid w:val="0089006A"/>
    <w:rsid w:val="00896B67"/>
    <w:rsid w:val="00945310"/>
    <w:rsid w:val="009473B4"/>
    <w:rsid w:val="00951F0E"/>
    <w:rsid w:val="00960384"/>
    <w:rsid w:val="009625FE"/>
    <w:rsid w:val="009D073E"/>
    <w:rsid w:val="009F1B23"/>
    <w:rsid w:val="00A55D58"/>
    <w:rsid w:val="00A71E87"/>
    <w:rsid w:val="00AA6727"/>
    <w:rsid w:val="00AD1240"/>
    <w:rsid w:val="00B109B8"/>
    <w:rsid w:val="00B369EC"/>
    <w:rsid w:val="00B73B19"/>
    <w:rsid w:val="00B77DC1"/>
    <w:rsid w:val="00B95E8B"/>
    <w:rsid w:val="00BD0F32"/>
    <w:rsid w:val="00C135D3"/>
    <w:rsid w:val="00C25B64"/>
    <w:rsid w:val="00C47DE1"/>
    <w:rsid w:val="00C9608C"/>
    <w:rsid w:val="00D06C91"/>
    <w:rsid w:val="00D2196A"/>
    <w:rsid w:val="00D377E9"/>
    <w:rsid w:val="00D6029D"/>
    <w:rsid w:val="00E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F747"/>
  <w15:docId w15:val="{11F248C4-A2C1-401A-A4E9-47EA1D35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hoi.xibri@unib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Xhoi Xibri</dc:creator>
  <dc:description/>
  <cp:lastModifiedBy>Xhoi Xibri</cp:lastModifiedBy>
  <cp:revision>70</cp:revision>
  <dcterms:created xsi:type="dcterms:W3CDTF">2024-09-23T17:31:00Z</dcterms:created>
  <dcterms:modified xsi:type="dcterms:W3CDTF">2024-09-27T09:39:00Z</dcterms:modified>
</cp:coreProperties>
</file>