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627" w:rsidRPr="006D5627" w:rsidRDefault="006D5627" w:rsidP="006D5627">
      <w:pPr>
        <w:spacing w:after="0" w:line="240" w:lineRule="auto"/>
        <w:jc w:val="center"/>
        <w:rPr>
          <w:rFonts w:asciiTheme="minorHAnsi" w:eastAsia="Times New Roman" w:hAnsiTheme="minorHAnsi" w:cstheme="minorHAnsi"/>
          <w:b/>
          <w:sz w:val="30"/>
          <w:szCs w:val="30"/>
        </w:rPr>
      </w:pPr>
      <w:r w:rsidRPr="006D5627">
        <w:rPr>
          <w:rFonts w:asciiTheme="minorHAnsi" w:eastAsia="Times New Roman" w:hAnsiTheme="minorHAnsi" w:cstheme="minorHAnsi"/>
          <w:b/>
          <w:sz w:val="30"/>
          <w:szCs w:val="30"/>
        </w:rPr>
        <w:t>Application of various mixing rules in binary mixtures of 1-propanol with benzene and pyridine</w:t>
      </w:r>
    </w:p>
    <w:p w:rsidR="0005217F" w:rsidRPr="00164502" w:rsidRDefault="0005217F" w:rsidP="00B83CA0">
      <w:pPr>
        <w:pBdr>
          <w:top w:val="single" w:sz="4" w:space="1" w:color="auto"/>
          <w:bottom w:val="single" w:sz="4" w:space="1" w:color="auto"/>
        </w:pBdr>
        <w:spacing w:after="0" w:line="240" w:lineRule="auto"/>
        <w:jc w:val="both"/>
        <w:rPr>
          <w:rFonts w:eastAsia="Gulim" w:cs="Calibri"/>
          <w:b/>
        </w:rPr>
      </w:pPr>
    </w:p>
    <w:p w:rsidR="008F67DF" w:rsidRPr="00474C38" w:rsidRDefault="006D5627" w:rsidP="006D5627">
      <w:pPr>
        <w:pBdr>
          <w:top w:val="single" w:sz="4" w:space="1" w:color="auto"/>
          <w:bottom w:val="single" w:sz="4" w:space="1" w:color="auto"/>
        </w:pBdr>
        <w:spacing w:after="0" w:line="240" w:lineRule="auto"/>
        <w:rPr>
          <w:rFonts w:eastAsia="Gulim" w:cs="Calibri"/>
          <w:sz w:val="20"/>
          <w:szCs w:val="20"/>
          <w:vertAlign w:val="superscript"/>
        </w:rPr>
      </w:pPr>
      <w:proofErr w:type="spellStart"/>
      <w:r>
        <w:rPr>
          <w:rFonts w:ascii="Times New Roman" w:eastAsia="Times New Roman" w:hAnsi="Times New Roman"/>
          <w:b/>
          <w:color w:val="000000"/>
          <w:sz w:val="24"/>
          <w:szCs w:val="24"/>
        </w:rPr>
        <w:t>Arbër</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Musliu</w:t>
      </w:r>
      <w:proofErr w:type="spellEnd"/>
      <w:r>
        <w:rPr>
          <w:rFonts w:ascii="Times New Roman" w:eastAsia="Times New Roman" w:hAnsi="Times New Roman"/>
          <w:b/>
          <w:color w:val="000000"/>
          <w:sz w:val="24"/>
          <w:szCs w:val="24"/>
          <w:vertAlign w:val="superscript"/>
        </w:rPr>
        <w:t xml:space="preserve"> </w:t>
      </w:r>
      <w:proofErr w:type="spellStart"/>
      <w:proofErr w:type="gramStart"/>
      <w:r>
        <w:rPr>
          <w:rFonts w:ascii="Times New Roman" w:eastAsia="Times New Roman" w:hAnsi="Times New Roman"/>
          <w:b/>
          <w:color w:val="000000"/>
          <w:sz w:val="24"/>
          <w:szCs w:val="24"/>
          <w:vertAlign w:val="superscript"/>
        </w:rPr>
        <w:t>a</w:t>
      </w:r>
      <w:r>
        <w:rPr>
          <w:rFonts w:ascii="Times New Roman" w:eastAsia="Times New Roman" w:hAnsi="Times New Roman"/>
          <w:b/>
          <w:color w:val="000000"/>
          <w:sz w:val="24"/>
          <w:szCs w:val="24"/>
          <w:vertAlign w:val="superscript"/>
        </w:rPr>
        <w:t>,</w:t>
      </w:r>
      <w:r>
        <w:rPr>
          <w:rFonts w:ascii="Times New Roman" w:eastAsia="Times New Roman" w:hAnsi="Times New Roman"/>
          <w:b/>
          <w:color w:val="000000"/>
          <w:sz w:val="24"/>
          <w:szCs w:val="24"/>
          <w:vertAlign w:val="superscript"/>
        </w:rPr>
        <w:t>b</w:t>
      </w:r>
      <w:proofErr w:type="spellEnd"/>
      <w:proofErr w:type="gramEnd"/>
      <w:r>
        <w:rPr>
          <w:rFonts w:ascii="Times New Roman" w:eastAsia="Times New Roman" w:hAnsi="Times New Roman"/>
          <w:b/>
          <w:color w:val="000000"/>
          <w:sz w:val="24"/>
          <w:szCs w:val="24"/>
          <w:vertAlign w:val="superscript"/>
        </w:rPr>
        <w:br/>
      </w:r>
      <w:proofErr w:type="spellStart"/>
      <w:r>
        <w:rPr>
          <w:rFonts w:eastAsia="Gulim" w:cs="Calibri"/>
          <w:sz w:val="20"/>
          <w:szCs w:val="20"/>
        </w:rPr>
        <w:t>Kaltrina</w:t>
      </w:r>
      <w:proofErr w:type="spellEnd"/>
      <w:r>
        <w:rPr>
          <w:rFonts w:eastAsia="Gulim" w:cs="Calibri"/>
          <w:sz w:val="20"/>
          <w:szCs w:val="20"/>
        </w:rPr>
        <w:t xml:space="preserve"> </w:t>
      </w:r>
      <w:proofErr w:type="spellStart"/>
      <w:r>
        <w:rPr>
          <w:rFonts w:eastAsia="Gulim" w:cs="Calibri"/>
          <w:sz w:val="20"/>
          <w:szCs w:val="20"/>
        </w:rPr>
        <w:t>Krasniqi</w:t>
      </w:r>
      <w:r>
        <w:rPr>
          <w:rFonts w:eastAsia="Gulim" w:cs="Calibri"/>
          <w:sz w:val="20"/>
          <w:szCs w:val="20"/>
          <w:vertAlign w:val="superscript"/>
        </w:rPr>
        <w:t>a</w:t>
      </w:r>
      <w:proofErr w:type="spellEnd"/>
      <w:r w:rsidR="000A20B3">
        <w:rPr>
          <w:rFonts w:eastAsia="Gulim" w:cs="Calibri"/>
          <w:sz w:val="20"/>
          <w:szCs w:val="20"/>
        </w:rPr>
        <w:t xml:space="preserve">, </w:t>
      </w:r>
      <w:r>
        <w:rPr>
          <w:rFonts w:eastAsia="Gulim" w:cs="Calibri"/>
          <w:sz w:val="20"/>
          <w:szCs w:val="20"/>
        </w:rPr>
        <w:t xml:space="preserve">Tahir </w:t>
      </w:r>
      <w:proofErr w:type="spellStart"/>
      <w:r>
        <w:rPr>
          <w:rFonts w:eastAsia="Gulim" w:cs="Calibri"/>
          <w:sz w:val="20"/>
          <w:szCs w:val="20"/>
        </w:rPr>
        <w:t>Arbneshi</w:t>
      </w:r>
      <w:r w:rsidR="00474C38">
        <w:rPr>
          <w:rFonts w:eastAsia="Gulim" w:cs="Calibri"/>
          <w:sz w:val="20"/>
          <w:szCs w:val="20"/>
          <w:vertAlign w:val="superscript"/>
        </w:rPr>
        <w:t>a</w:t>
      </w:r>
      <w:proofErr w:type="spellEnd"/>
      <w:r w:rsidR="00474C38">
        <w:rPr>
          <w:rFonts w:eastAsia="Gulim" w:cs="Calibri"/>
          <w:sz w:val="20"/>
          <w:szCs w:val="20"/>
        </w:rPr>
        <w:t xml:space="preserve">, </w:t>
      </w:r>
      <w:proofErr w:type="spellStart"/>
      <w:r>
        <w:rPr>
          <w:rFonts w:eastAsia="Gulim" w:cs="Calibri"/>
          <w:sz w:val="20"/>
          <w:szCs w:val="20"/>
        </w:rPr>
        <w:t>Arbër</w:t>
      </w:r>
      <w:proofErr w:type="spellEnd"/>
      <w:r w:rsidR="00474C38">
        <w:rPr>
          <w:rFonts w:eastAsia="Gulim" w:cs="Calibri"/>
          <w:sz w:val="20"/>
          <w:szCs w:val="20"/>
        </w:rPr>
        <w:t xml:space="preserve"> </w:t>
      </w:r>
      <w:proofErr w:type="spellStart"/>
      <w:r>
        <w:rPr>
          <w:rFonts w:eastAsia="Gulim" w:cs="Calibri"/>
          <w:sz w:val="20"/>
          <w:szCs w:val="20"/>
        </w:rPr>
        <w:t>Zeqiraj</w:t>
      </w:r>
      <w:r>
        <w:rPr>
          <w:rFonts w:eastAsia="Gulim" w:cs="Calibri"/>
          <w:sz w:val="20"/>
          <w:szCs w:val="20"/>
          <w:vertAlign w:val="superscript"/>
        </w:rPr>
        <w:t>c</w:t>
      </w:r>
      <w:proofErr w:type="spellEnd"/>
      <w:r>
        <w:rPr>
          <w:rFonts w:eastAsia="Gulim" w:cs="Calibri"/>
          <w:sz w:val="20"/>
          <w:szCs w:val="20"/>
        </w:rPr>
        <w:t>,</w:t>
      </w:r>
      <w:r w:rsidRPr="006D5627">
        <w:rPr>
          <w:rFonts w:eastAsia="Gulim" w:cs="Calibri"/>
          <w:sz w:val="20"/>
          <w:szCs w:val="20"/>
        </w:rPr>
        <w:t xml:space="preserve"> </w:t>
      </w:r>
      <w:proofErr w:type="spellStart"/>
      <w:r>
        <w:rPr>
          <w:rFonts w:eastAsia="Gulim" w:cs="Calibri"/>
          <w:sz w:val="20"/>
          <w:szCs w:val="20"/>
        </w:rPr>
        <w:t>Fisnik</w:t>
      </w:r>
      <w:proofErr w:type="spellEnd"/>
      <w:r>
        <w:rPr>
          <w:rFonts w:eastAsia="Gulim" w:cs="Calibri"/>
          <w:sz w:val="20"/>
          <w:szCs w:val="20"/>
        </w:rPr>
        <w:t xml:space="preserve"> </w:t>
      </w:r>
      <w:proofErr w:type="spellStart"/>
      <w:r>
        <w:rPr>
          <w:rFonts w:eastAsia="Gulim" w:cs="Calibri"/>
          <w:sz w:val="20"/>
          <w:szCs w:val="20"/>
        </w:rPr>
        <w:t>Aliaj</w:t>
      </w:r>
      <w:r>
        <w:rPr>
          <w:rFonts w:eastAsia="Gulim" w:cs="Calibri"/>
          <w:sz w:val="20"/>
          <w:szCs w:val="20"/>
          <w:vertAlign w:val="superscript"/>
        </w:rPr>
        <w:t>d</w:t>
      </w:r>
      <w:proofErr w:type="spellEnd"/>
    </w:p>
    <w:p w:rsidR="00474C38" w:rsidRPr="00474C38" w:rsidRDefault="00474C38" w:rsidP="006D5627">
      <w:pPr>
        <w:pBdr>
          <w:top w:val="single" w:sz="4" w:space="1" w:color="auto"/>
          <w:bottom w:val="single" w:sz="4" w:space="1" w:color="auto"/>
        </w:pBdr>
        <w:spacing w:after="0" w:line="240" w:lineRule="auto"/>
        <w:rPr>
          <w:rFonts w:eastAsia="Gulim" w:cs="Calibri"/>
          <w:sz w:val="20"/>
          <w:szCs w:val="20"/>
        </w:rPr>
      </w:pPr>
      <w:r w:rsidRPr="006D5627">
        <w:rPr>
          <w:rFonts w:eastAsia="Gulim" w:cs="Calibri"/>
          <w:sz w:val="20"/>
          <w:szCs w:val="20"/>
          <w:vertAlign w:val="superscript"/>
        </w:rPr>
        <w:t>a</w:t>
      </w:r>
      <w:r w:rsidRPr="006D5627">
        <w:rPr>
          <w:rFonts w:eastAsia="Gulim" w:cs="Calibri"/>
          <w:sz w:val="20"/>
          <w:szCs w:val="20"/>
        </w:rPr>
        <w:t xml:space="preserve"> </w:t>
      </w:r>
      <w:r w:rsidRPr="00474C38">
        <w:rPr>
          <w:rFonts w:eastAsia="Gulim" w:cs="Calibri"/>
          <w:sz w:val="20"/>
          <w:szCs w:val="20"/>
        </w:rPr>
        <w:t xml:space="preserve">Department of Chemistry, Faculty of Natural and Mathematical Science, University of </w:t>
      </w:r>
      <w:proofErr w:type="spellStart"/>
      <w:r w:rsidRPr="00474C38">
        <w:rPr>
          <w:rFonts w:eastAsia="Gulim" w:cs="Calibri"/>
          <w:sz w:val="20"/>
          <w:szCs w:val="20"/>
        </w:rPr>
        <w:t>Prishtina</w:t>
      </w:r>
      <w:proofErr w:type="spellEnd"/>
      <w:r w:rsidRPr="00474C38">
        <w:rPr>
          <w:rFonts w:eastAsia="Gulim" w:cs="Calibri"/>
          <w:sz w:val="20"/>
          <w:szCs w:val="20"/>
        </w:rPr>
        <w:t>, str. George Bush, 10000</w:t>
      </w:r>
      <w:r w:rsidR="006D5627">
        <w:rPr>
          <w:rFonts w:eastAsia="Gulim" w:cs="Calibri"/>
          <w:sz w:val="20"/>
          <w:szCs w:val="20"/>
        </w:rPr>
        <w:t xml:space="preserve"> </w:t>
      </w:r>
      <w:proofErr w:type="spellStart"/>
      <w:r w:rsidRPr="00474C38">
        <w:rPr>
          <w:rFonts w:eastAsia="Gulim" w:cs="Calibri"/>
          <w:sz w:val="20"/>
          <w:szCs w:val="20"/>
        </w:rPr>
        <w:t>Prishtina</w:t>
      </w:r>
      <w:proofErr w:type="spellEnd"/>
      <w:r w:rsidRPr="00474C38">
        <w:rPr>
          <w:rFonts w:eastAsia="Gulim" w:cs="Calibri"/>
          <w:sz w:val="20"/>
          <w:szCs w:val="20"/>
        </w:rPr>
        <w:t>,</w:t>
      </w:r>
      <w:r w:rsidR="006D5627">
        <w:rPr>
          <w:rFonts w:eastAsia="Gulim" w:cs="Calibri"/>
          <w:sz w:val="20"/>
          <w:szCs w:val="20"/>
        </w:rPr>
        <w:t xml:space="preserve"> </w:t>
      </w:r>
      <w:r w:rsidRPr="00474C38">
        <w:rPr>
          <w:rFonts w:eastAsia="Gulim" w:cs="Calibri"/>
          <w:sz w:val="20"/>
          <w:szCs w:val="20"/>
        </w:rPr>
        <w:t>Republic</w:t>
      </w:r>
      <w:r w:rsidR="006D5627">
        <w:rPr>
          <w:rFonts w:eastAsia="Gulim" w:cs="Calibri"/>
          <w:sz w:val="20"/>
          <w:szCs w:val="20"/>
        </w:rPr>
        <w:t xml:space="preserve"> </w:t>
      </w:r>
      <w:r w:rsidRPr="00474C38">
        <w:rPr>
          <w:rFonts w:eastAsia="Gulim" w:cs="Calibri"/>
          <w:sz w:val="20"/>
          <w:szCs w:val="20"/>
        </w:rPr>
        <w:t>of</w:t>
      </w:r>
      <w:r w:rsidR="006D5627">
        <w:rPr>
          <w:rFonts w:eastAsia="Gulim" w:cs="Calibri"/>
          <w:sz w:val="20"/>
          <w:szCs w:val="20"/>
        </w:rPr>
        <w:t xml:space="preserve"> </w:t>
      </w:r>
      <w:proofErr w:type="spellStart"/>
      <w:r w:rsidRPr="00474C38">
        <w:rPr>
          <w:rFonts w:eastAsia="Gulim" w:cs="Calibri"/>
          <w:sz w:val="20"/>
          <w:szCs w:val="20"/>
        </w:rPr>
        <w:t>Kosova</w:t>
      </w:r>
      <w:proofErr w:type="spellEnd"/>
    </w:p>
    <w:p w:rsidR="00474C38" w:rsidRPr="006D5627" w:rsidRDefault="00474C38" w:rsidP="006D5627">
      <w:pPr>
        <w:pBdr>
          <w:top w:val="single" w:sz="4" w:space="1" w:color="auto"/>
          <w:bottom w:val="single" w:sz="4" w:space="1" w:color="auto"/>
        </w:pBdr>
        <w:spacing w:after="0" w:line="240" w:lineRule="auto"/>
        <w:rPr>
          <w:rFonts w:eastAsia="Gulim" w:cs="Calibri"/>
          <w:sz w:val="20"/>
          <w:szCs w:val="20"/>
        </w:rPr>
      </w:pPr>
      <w:r w:rsidRPr="00474C38">
        <w:rPr>
          <w:rFonts w:eastAsia="Gulim" w:cs="Calibri"/>
          <w:sz w:val="20"/>
          <w:szCs w:val="20"/>
          <w:vertAlign w:val="superscript"/>
        </w:rPr>
        <w:t>b</w:t>
      </w:r>
      <w:r w:rsidR="006D5627">
        <w:rPr>
          <w:rFonts w:eastAsia="Gulim" w:cs="Calibri"/>
          <w:sz w:val="20"/>
          <w:szCs w:val="20"/>
          <w:vertAlign w:val="superscript"/>
        </w:rPr>
        <w:t xml:space="preserve"> </w:t>
      </w:r>
      <w:r w:rsidRPr="00474C38">
        <w:rPr>
          <w:rFonts w:eastAsia="Gulim" w:cs="Calibri"/>
          <w:sz w:val="20"/>
          <w:szCs w:val="20"/>
        </w:rPr>
        <w:t xml:space="preserve">Academy of Science of Albania, Unit of Albanian Nano-science and Nanotechnology - </w:t>
      </w:r>
      <w:proofErr w:type="spellStart"/>
      <w:r w:rsidRPr="00474C38">
        <w:rPr>
          <w:rFonts w:eastAsia="Gulim" w:cs="Calibri"/>
          <w:sz w:val="20"/>
          <w:szCs w:val="20"/>
        </w:rPr>
        <w:t>NanoAlb</w:t>
      </w:r>
      <w:proofErr w:type="spellEnd"/>
      <w:r w:rsidRPr="00474C38">
        <w:rPr>
          <w:rFonts w:eastAsia="Gulim" w:cs="Calibri"/>
          <w:sz w:val="20"/>
          <w:szCs w:val="20"/>
        </w:rPr>
        <w:t xml:space="preserve"> 1000 Tirana, Albania</w:t>
      </w:r>
      <w:r w:rsidR="006D5627">
        <w:rPr>
          <w:rFonts w:eastAsia="Gulim" w:cs="Calibri"/>
          <w:sz w:val="20"/>
          <w:szCs w:val="20"/>
        </w:rPr>
        <w:br/>
      </w:r>
      <w:r w:rsidR="006D5627" w:rsidRPr="006D5627">
        <w:rPr>
          <w:rFonts w:eastAsia="Gulim" w:cs="Calibri"/>
          <w:sz w:val="20"/>
          <w:szCs w:val="20"/>
          <w:vertAlign w:val="superscript"/>
        </w:rPr>
        <w:t>c</w:t>
      </w:r>
      <w:r w:rsidR="006D5627">
        <w:rPr>
          <w:rFonts w:eastAsia="Gulim" w:cs="Calibri"/>
          <w:sz w:val="20"/>
          <w:szCs w:val="20"/>
        </w:rPr>
        <w:t xml:space="preserve"> Department of Materials and Metallurgy, University “Isa </w:t>
      </w:r>
      <w:proofErr w:type="spellStart"/>
      <w:r w:rsidR="006D5627">
        <w:rPr>
          <w:rFonts w:eastAsia="Gulim" w:cs="Calibri"/>
          <w:sz w:val="20"/>
          <w:szCs w:val="20"/>
        </w:rPr>
        <w:t>Boletini</w:t>
      </w:r>
      <w:proofErr w:type="spellEnd"/>
      <w:r w:rsidR="006D5627">
        <w:rPr>
          <w:rFonts w:eastAsia="Gulim" w:cs="Calibri"/>
          <w:sz w:val="20"/>
          <w:szCs w:val="20"/>
        </w:rPr>
        <w:t xml:space="preserve">” Mitrovica, </w:t>
      </w:r>
      <w:proofErr w:type="spellStart"/>
      <w:r w:rsidR="006D5627">
        <w:rPr>
          <w:rFonts w:eastAsia="Gulim" w:cs="Calibri"/>
          <w:sz w:val="20"/>
          <w:szCs w:val="20"/>
        </w:rPr>
        <w:t>Kosova</w:t>
      </w:r>
      <w:proofErr w:type="spellEnd"/>
      <w:r w:rsidR="006D5627">
        <w:rPr>
          <w:rFonts w:eastAsia="Gulim" w:cs="Calibri"/>
          <w:sz w:val="20"/>
          <w:szCs w:val="20"/>
        </w:rPr>
        <w:br/>
      </w:r>
      <w:r w:rsidR="006D5627" w:rsidRPr="006D5627">
        <w:rPr>
          <w:rFonts w:eastAsia="Gulim" w:cs="Calibri"/>
          <w:sz w:val="20"/>
          <w:szCs w:val="20"/>
          <w:vertAlign w:val="superscript"/>
        </w:rPr>
        <w:t>d</w:t>
      </w:r>
      <w:r w:rsidR="006D5627">
        <w:rPr>
          <w:rFonts w:eastAsia="Gulim" w:cs="Calibri"/>
          <w:sz w:val="20"/>
          <w:szCs w:val="20"/>
        </w:rPr>
        <w:t xml:space="preserve"> </w:t>
      </w:r>
      <w:r w:rsidR="006D5627" w:rsidRPr="00474C38">
        <w:rPr>
          <w:rFonts w:eastAsia="Gulim" w:cs="Calibri"/>
          <w:sz w:val="20"/>
          <w:szCs w:val="20"/>
        </w:rPr>
        <w:t xml:space="preserve">Department of </w:t>
      </w:r>
      <w:r w:rsidR="006D5627">
        <w:rPr>
          <w:rFonts w:eastAsia="Gulim" w:cs="Calibri"/>
          <w:sz w:val="20"/>
          <w:szCs w:val="20"/>
        </w:rPr>
        <w:t>Physics</w:t>
      </w:r>
      <w:r w:rsidR="006D5627" w:rsidRPr="00474C38">
        <w:rPr>
          <w:rFonts w:eastAsia="Gulim" w:cs="Calibri"/>
          <w:sz w:val="20"/>
          <w:szCs w:val="20"/>
        </w:rPr>
        <w:t xml:space="preserve">, Faculty of Natural and Mathematical Science, University of </w:t>
      </w:r>
      <w:proofErr w:type="spellStart"/>
      <w:r w:rsidR="006D5627" w:rsidRPr="00474C38">
        <w:rPr>
          <w:rFonts w:eastAsia="Gulim" w:cs="Calibri"/>
          <w:sz w:val="20"/>
          <w:szCs w:val="20"/>
        </w:rPr>
        <w:t>Prishtina</w:t>
      </w:r>
      <w:proofErr w:type="spellEnd"/>
      <w:r w:rsidR="006D5627" w:rsidRPr="00474C38">
        <w:rPr>
          <w:rFonts w:eastAsia="Gulim" w:cs="Calibri"/>
          <w:sz w:val="20"/>
          <w:szCs w:val="20"/>
        </w:rPr>
        <w:t>, str. George Bush, 10000</w:t>
      </w:r>
      <w:r w:rsidR="006D5627">
        <w:rPr>
          <w:rFonts w:eastAsia="Gulim" w:cs="Calibri"/>
          <w:sz w:val="20"/>
          <w:szCs w:val="20"/>
        </w:rPr>
        <w:t xml:space="preserve"> </w:t>
      </w:r>
      <w:proofErr w:type="spellStart"/>
      <w:r w:rsidR="006D5627" w:rsidRPr="00474C38">
        <w:rPr>
          <w:rFonts w:eastAsia="Gulim" w:cs="Calibri"/>
          <w:sz w:val="20"/>
          <w:szCs w:val="20"/>
        </w:rPr>
        <w:t>Prishtina</w:t>
      </w:r>
      <w:proofErr w:type="spellEnd"/>
      <w:r w:rsidR="006D5627" w:rsidRPr="00474C38">
        <w:rPr>
          <w:rFonts w:eastAsia="Gulim" w:cs="Calibri"/>
          <w:sz w:val="20"/>
          <w:szCs w:val="20"/>
        </w:rPr>
        <w:t>,</w:t>
      </w:r>
      <w:r w:rsidR="006D5627">
        <w:rPr>
          <w:rFonts w:eastAsia="Gulim" w:cs="Calibri"/>
          <w:sz w:val="20"/>
          <w:szCs w:val="20"/>
        </w:rPr>
        <w:t xml:space="preserve"> </w:t>
      </w:r>
      <w:r w:rsidR="006D5627" w:rsidRPr="00474C38">
        <w:rPr>
          <w:rFonts w:eastAsia="Gulim" w:cs="Calibri"/>
          <w:sz w:val="20"/>
          <w:szCs w:val="20"/>
        </w:rPr>
        <w:t>Republic</w:t>
      </w:r>
      <w:r w:rsidR="006D5627">
        <w:rPr>
          <w:rFonts w:eastAsia="Gulim" w:cs="Calibri"/>
          <w:sz w:val="20"/>
          <w:szCs w:val="20"/>
        </w:rPr>
        <w:t xml:space="preserve"> </w:t>
      </w:r>
      <w:r w:rsidR="006D5627" w:rsidRPr="00474C38">
        <w:rPr>
          <w:rFonts w:eastAsia="Gulim" w:cs="Calibri"/>
          <w:sz w:val="20"/>
          <w:szCs w:val="20"/>
        </w:rPr>
        <w:t>of</w:t>
      </w:r>
      <w:r w:rsidR="006D5627">
        <w:rPr>
          <w:rFonts w:eastAsia="Gulim" w:cs="Calibri"/>
          <w:sz w:val="20"/>
          <w:szCs w:val="20"/>
        </w:rPr>
        <w:t xml:space="preserve"> </w:t>
      </w:r>
      <w:proofErr w:type="spellStart"/>
      <w:r w:rsidR="006D5627" w:rsidRPr="00474C38">
        <w:rPr>
          <w:rFonts w:eastAsia="Gulim" w:cs="Calibri"/>
          <w:sz w:val="20"/>
          <w:szCs w:val="20"/>
        </w:rPr>
        <w:t>Kosova</w:t>
      </w:r>
      <w:proofErr w:type="spellEnd"/>
    </w:p>
    <w:p w:rsidR="008F67DF" w:rsidRPr="00164502" w:rsidRDefault="006D5627" w:rsidP="006D5627">
      <w:pPr>
        <w:pBdr>
          <w:top w:val="single" w:sz="4" w:space="1" w:color="auto"/>
          <w:bottom w:val="single" w:sz="4" w:space="1" w:color="auto"/>
        </w:pBdr>
        <w:spacing w:after="0" w:line="240" w:lineRule="auto"/>
        <w:rPr>
          <w:rFonts w:eastAsia="Gulim" w:cs="Calibri"/>
          <w:sz w:val="20"/>
          <w:szCs w:val="20"/>
        </w:rPr>
      </w:pPr>
      <w:hyperlink r:id="rId8" w:history="1">
        <w:r w:rsidRPr="003A2434">
          <w:rPr>
            <w:rStyle w:val="Hyperlink"/>
            <w:rFonts w:eastAsia="Gulim" w:cs="Calibri"/>
            <w:sz w:val="20"/>
            <w:szCs w:val="20"/>
          </w:rPr>
          <w:t>arber.musliu@student.uni-pr.edu</w:t>
        </w:r>
      </w:hyperlink>
    </w:p>
    <w:p w:rsidR="00735211" w:rsidRPr="00164502" w:rsidRDefault="00735211" w:rsidP="00B83CA0">
      <w:pPr>
        <w:spacing w:after="0" w:line="240" w:lineRule="auto"/>
        <w:jc w:val="both"/>
        <w:rPr>
          <w:rFonts w:eastAsia="Gulim" w:cs="Calibri"/>
          <w:b/>
          <w:sz w:val="20"/>
          <w:szCs w:val="20"/>
        </w:rPr>
      </w:pPr>
    </w:p>
    <w:p w:rsidR="00FF4A58" w:rsidRPr="00164502" w:rsidRDefault="00801ECD" w:rsidP="00B83CA0">
      <w:pPr>
        <w:spacing w:after="0" w:line="240" w:lineRule="auto"/>
        <w:rPr>
          <w:rFonts w:eastAsia="Gulim" w:cs="Calibri"/>
          <w:spacing w:val="-2"/>
          <w:sz w:val="24"/>
          <w:szCs w:val="24"/>
        </w:rPr>
      </w:pPr>
      <w:r>
        <w:rPr>
          <w:rFonts w:eastAsia="Gulim" w:cs="Calibri"/>
          <w:spacing w:val="-2"/>
          <w:sz w:val="24"/>
          <w:szCs w:val="24"/>
        </w:rPr>
        <w:t xml:space="preserve">Abstract </w:t>
      </w:r>
    </w:p>
    <w:p w:rsidR="008F67DF" w:rsidRPr="00164502" w:rsidRDefault="008F67DF" w:rsidP="00B83CA0">
      <w:pPr>
        <w:spacing w:after="0" w:line="240" w:lineRule="auto"/>
        <w:rPr>
          <w:rFonts w:eastAsia="Gulim" w:cs="Calibri"/>
          <w:spacing w:val="-2"/>
          <w:sz w:val="24"/>
          <w:szCs w:val="24"/>
        </w:rPr>
      </w:pPr>
    </w:p>
    <w:p w:rsidR="006D5627" w:rsidRPr="006D5627" w:rsidRDefault="006D5627" w:rsidP="006D5627">
      <w:pPr>
        <w:spacing w:before="240" w:after="240" w:line="240" w:lineRule="auto"/>
        <w:jc w:val="both"/>
        <w:rPr>
          <w:rFonts w:asciiTheme="minorHAnsi" w:eastAsia="Times New Roman" w:hAnsiTheme="minorHAnsi" w:cstheme="minorHAnsi"/>
          <w:sz w:val="24"/>
          <w:szCs w:val="24"/>
        </w:rPr>
      </w:pPr>
      <w:r w:rsidRPr="006D5627">
        <w:rPr>
          <w:rFonts w:asciiTheme="minorHAnsi" w:eastAsia="Times New Roman" w:hAnsiTheme="minorHAnsi" w:cstheme="minorHAnsi"/>
          <w:sz w:val="24"/>
          <w:szCs w:val="24"/>
        </w:rPr>
        <w:t xml:space="preserve">The refractive indices for binary mixtures of 1-propanol + pyridine and 1-propanol + benzene </w:t>
      </w:r>
      <w:proofErr w:type="gramStart"/>
      <w:r w:rsidRPr="006D5627">
        <w:rPr>
          <w:rFonts w:asciiTheme="minorHAnsi" w:eastAsia="Times New Roman" w:hAnsiTheme="minorHAnsi" w:cstheme="minorHAnsi"/>
          <w:sz w:val="24"/>
          <w:szCs w:val="24"/>
        </w:rPr>
        <w:t>were</w:t>
      </w:r>
      <w:proofErr w:type="gramEnd"/>
      <w:r w:rsidRPr="006D5627">
        <w:rPr>
          <w:rFonts w:asciiTheme="minorHAnsi" w:eastAsia="Times New Roman" w:hAnsiTheme="minorHAnsi" w:cstheme="minorHAnsi"/>
          <w:sz w:val="24"/>
          <w:szCs w:val="24"/>
        </w:rPr>
        <w:t xml:space="preserve"> measured using a calibrated Abbe refractometer (Model G from Carl Zeiss) across the entire mole fraction region at a temperature of 298.15 K and under ambient pressure. In this study, the refractive index mixing rules </w:t>
      </w:r>
      <w:proofErr w:type="spellStart"/>
      <w:r w:rsidRPr="006D5627">
        <w:rPr>
          <w:rFonts w:asciiTheme="minorHAnsi" w:eastAsia="Times New Roman" w:hAnsiTheme="minorHAnsi" w:cstheme="minorHAnsi"/>
          <w:sz w:val="24"/>
          <w:szCs w:val="24"/>
        </w:rPr>
        <w:t>Arago-Biot</w:t>
      </w:r>
      <w:proofErr w:type="spellEnd"/>
      <w:r w:rsidRPr="006D5627">
        <w:rPr>
          <w:rFonts w:asciiTheme="minorHAnsi" w:eastAsia="Times New Roman" w:hAnsiTheme="minorHAnsi" w:cstheme="minorHAnsi"/>
          <w:sz w:val="24"/>
          <w:szCs w:val="24"/>
        </w:rPr>
        <w:t xml:space="preserve"> (A-B), Lorentz-Lorentz (L-L), Newton (N), and Eyring-John (E-J) were applied to verify their predictive capability for the studied binary systems. The predictive ability was estimated by calculating the average absolute percentage deviation between experimental and calculated values. The findings of the current work demonstrate that refractive index mixing rules can accurately describe the optical properties of binary mixtures, which is crucial in various chemical and industrial processes.</w:t>
      </w:r>
    </w:p>
    <w:p w:rsidR="00ED437A" w:rsidRPr="00164502" w:rsidRDefault="00ED437A" w:rsidP="00ED437A">
      <w:pPr>
        <w:spacing w:after="0" w:line="240" w:lineRule="auto"/>
        <w:jc w:val="both"/>
        <w:rPr>
          <w:rFonts w:eastAsia="Gulim" w:cs="Calibri"/>
          <w:sz w:val="24"/>
          <w:szCs w:val="24"/>
        </w:rPr>
      </w:pPr>
    </w:p>
    <w:p w:rsidR="007956D8" w:rsidRPr="00382025" w:rsidRDefault="007956D8" w:rsidP="00B83CA0">
      <w:pPr>
        <w:spacing w:after="0" w:line="240" w:lineRule="auto"/>
        <w:jc w:val="both"/>
        <w:rPr>
          <w:rFonts w:eastAsia="Gulim" w:cs="Calibri"/>
          <w:b/>
          <w:bCs/>
        </w:rPr>
      </w:pPr>
      <w:r w:rsidRPr="00382025">
        <w:rPr>
          <w:rFonts w:eastAsia="Gulim" w:cs="Calibri"/>
          <w:b/>
          <w:bCs/>
        </w:rPr>
        <w:t>References</w:t>
      </w:r>
    </w:p>
    <w:p w:rsidR="00DD484F" w:rsidRPr="00382025" w:rsidRDefault="008D60CB" w:rsidP="00DD484F">
      <w:pPr>
        <w:spacing w:after="0" w:line="240" w:lineRule="auto"/>
        <w:rPr>
          <w:rFonts w:eastAsia="Gulim" w:cs="Calibri"/>
        </w:rPr>
      </w:pPr>
      <w:r w:rsidRPr="00382025">
        <w:rPr>
          <w:rFonts w:eastAsia="Gulim" w:cs="Calibri"/>
        </w:rPr>
        <w:t>[1]</w:t>
      </w:r>
      <w:r w:rsidRPr="00382025">
        <w:rPr>
          <w:rFonts w:eastAsia="Gulim" w:cs="Calibri"/>
        </w:rPr>
        <w:tab/>
      </w:r>
      <w:r w:rsidR="00D45E20">
        <w:t xml:space="preserve">F. Pretorius, W. W. </w:t>
      </w:r>
      <w:proofErr w:type="spellStart"/>
      <w:r w:rsidR="00D45E20">
        <w:t>Focke</w:t>
      </w:r>
      <w:proofErr w:type="spellEnd"/>
      <w:r w:rsidR="00D45E20">
        <w:t xml:space="preserve">, R. </w:t>
      </w:r>
      <w:proofErr w:type="spellStart"/>
      <w:r w:rsidR="00D45E20">
        <w:t>Androsch</w:t>
      </w:r>
      <w:proofErr w:type="spellEnd"/>
      <w:r w:rsidR="00D45E20">
        <w:t>, and E. du Toit</w:t>
      </w:r>
      <w:r w:rsidR="00D45E20">
        <w:t xml:space="preserve">, </w:t>
      </w:r>
      <w:r w:rsidR="00D45E20">
        <w:t xml:space="preserve">Estimating binary liquid composition from density and refractive index measurements: A comprehensive review of mixing rules, </w:t>
      </w:r>
      <w:r w:rsidR="00D45E20">
        <w:rPr>
          <w:i/>
          <w:iCs/>
        </w:rPr>
        <w:t xml:space="preserve">J Mol </w:t>
      </w:r>
      <w:proofErr w:type="spellStart"/>
      <w:r w:rsidR="00D45E20">
        <w:rPr>
          <w:i/>
          <w:iCs/>
        </w:rPr>
        <w:t>Liq</w:t>
      </w:r>
      <w:proofErr w:type="spellEnd"/>
      <w:r w:rsidR="00D45E20">
        <w:t xml:space="preserve">, vol. 332, p. 115893, Jun. 2021, </w:t>
      </w:r>
      <w:hyperlink r:id="rId9" w:history="1">
        <w:r w:rsidR="00D45E20" w:rsidRPr="00D45E20">
          <w:rPr>
            <w:rStyle w:val="Hyperlink"/>
          </w:rPr>
          <w:t>https://doi.org/10.1016/j.molliq.2021.115893</w:t>
        </w:r>
      </w:hyperlink>
      <w:r w:rsidR="00D45E20">
        <w:t>.</w:t>
      </w:r>
      <w:r w:rsidR="00D45E20">
        <w:br/>
      </w:r>
    </w:p>
    <w:p w:rsidR="008D60CB" w:rsidRPr="00382025" w:rsidRDefault="008D60CB" w:rsidP="008D60CB">
      <w:pPr>
        <w:spacing w:after="0" w:line="240" w:lineRule="auto"/>
        <w:rPr>
          <w:rFonts w:eastAsia="Gulim" w:cs="Calibri"/>
        </w:rPr>
      </w:pPr>
      <w:r w:rsidRPr="00382025">
        <w:rPr>
          <w:rFonts w:eastAsia="Gulim" w:cs="Calibri"/>
        </w:rPr>
        <w:t>[2]</w:t>
      </w:r>
      <w:r w:rsidRPr="00382025">
        <w:rPr>
          <w:rFonts w:eastAsia="Gulim" w:cs="Calibri"/>
        </w:rPr>
        <w:tab/>
      </w:r>
      <w:r w:rsidR="00D45E20">
        <w:t xml:space="preserve">O. </w:t>
      </w:r>
      <w:proofErr w:type="spellStart"/>
      <w:r w:rsidR="00D45E20">
        <w:t>Sijilmassi</w:t>
      </w:r>
      <w:proofErr w:type="spellEnd"/>
      <w:r w:rsidR="00D45E20">
        <w:t>, P. García-Parejo, and A. Álvarez-Herrero, Evaluation of the refractive indices of pure organic dyes using binary mixture models</w:t>
      </w:r>
      <w:r w:rsidR="00D45E20" w:rsidRPr="00D45E20">
        <w:t xml:space="preserve">, J Mol </w:t>
      </w:r>
      <w:proofErr w:type="spellStart"/>
      <w:r w:rsidR="00D45E20" w:rsidRPr="00D45E20">
        <w:t>Liq</w:t>
      </w:r>
      <w:proofErr w:type="spellEnd"/>
      <w:r w:rsidR="00D45E20" w:rsidRPr="00D45E20">
        <w:t>, vol. 384, p. 122221, Aug. 2023,</w:t>
      </w:r>
      <w:r w:rsidR="00D45E20">
        <w:t xml:space="preserve"> </w:t>
      </w:r>
      <w:hyperlink r:id="rId10" w:history="1">
        <w:r w:rsidR="00D45E20" w:rsidRPr="00D45E20">
          <w:rPr>
            <w:rStyle w:val="Hyperlink"/>
          </w:rPr>
          <w:t>https://doi.org/10.1016/j.molliq.2023.122221</w:t>
        </w:r>
      </w:hyperlink>
      <w:r w:rsidR="00D45E20">
        <w:t>.</w:t>
      </w:r>
    </w:p>
    <w:p w:rsidR="008D60CB" w:rsidRPr="00382025" w:rsidRDefault="008D60CB" w:rsidP="008D60CB">
      <w:pPr>
        <w:spacing w:after="0" w:line="240" w:lineRule="auto"/>
        <w:rPr>
          <w:rFonts w:eastAsia="Gulim" w:cs="Calibri"/>
        </w:rPr>
      </w:pPr>
    </w:p>
    <w:p w:rsidR="0007172E" w:rsidRPr="00382025" w:rsidRDefault="00801ECD" w:rsidP="00B83CA0">
      <w:pPr>
        <w:spacing w:after="0" w:line="240" w:lineRule="auto"/>
        <w:jc w:val="both"/>
        <w:rPr>
          <w:rFonts w:eastAsia="Gulim" w:cs="Calibri"/>
        </w:rPr>
      </w:pPr>
      <w:r w:rsidRPr="00382025">
        <w:rPr>
          <w:rFonts w:eastAsia="Gulim" w:cs="Calibri"/>
        </w:rPr>
        <w:t>[3]</w:t>
      </w:r>
      <w:r w:rsidRPr="00382025">
        <w:rPr>
          <w:rFonts w:eastAsia="Gulim" w:cs="Calibri"/>
        </w:rPr>
        <w:tab/>
      </w:r>
      <w:r w:rsidR="00D45E20">
        <w:t xml:space="preserve">A. ZEQİRAJ, A. GJEVORİ, A. LLOZANA, N. SYLA, and F. ALİAJ, Thermodynamic Properties of Ethanol + Pyridine, Ethanol + Benzene, and Pyridine + Benzene Mixtures at Temperature 298.15 K and Under Atmospheric Pressure, </w:t>
      </w:r>
      <w:r w:rsidR="00D45E20" w:rsidRPr="00D45E20">
        <w:t>International Journal of Thermodynamics, pp.</w:t>
      </w:r>
      <w:r w:rsidR="00D45E20">
        <w:t xml:space="preserve"> 1–8, Dec. 2022,  </w:t>
      </w:r>
      <w:hyperlink r:id="rId11" w:history="1">
        <w:r w:rsidR="00D45E20" w:rsidRPr="00D45E20">
          <w:rPr>
            <w:rStyle w:val="Hyperlink"/>
          </w:rPr>
          <w:t>https://doi.org/10.5541/ijot.1173589</w:t>
        </w:r>
      </w:hyperlink>
      <w:r w:rsidR="00D45E20">
        <w:t>.</w:t>
      </w:r>
    </w:p>
    <w:p w:rsidR="00801ECD" w:rsidRPr="00382025" w:rsidRDefault="00801ECD" w:rsidP="00B83CA0">
      <w:pPr>
        <w:spacing w:after="0" w:line="240" w:lineRule="auto"/>
        <w:jc w:val="both"/>
        <w:rPr>
          <w:rFonts w:eastAsia="Gulim" w:cs="Calibri"/>
        </w:rPr>
      </w:pPr>
    </w:p>
    <w:p w:rsidR="00801ECD" w:rsidRPr="00382025" w:rsidRDefault="00801ECD" w:rsidP="00801ECD">
      <w:pPr>
        <w:spacing w:after="0" w:line="240" w:lineRule="auto"/>
        <w:jc w:val="both"/>
        <w:rPr>
          <w:rFonts w:eastAsia="Gulim" w:cs="Calibri"/>
        </w:rPr>
      </w:pPr>
      <w:r w:rsidRPr="00382025">
        <w:rPr>
          <w:rFonts w:eastAsia="Gulim" w:cs="Calibri"/>
        </w:rPr>
        <w:t>[4]</w:t>
      </w:r>
      <w:r w:rsidRPr="00382025">
        <w:rPr>
          <w:rFonts w:eastAsia="Gulim" w:cs="Calibri"/>
        </w:rPr>
        <w:tab/>
      </w:r>
      <w:r w:rsidR="00D45E20">
        <w:t xml:space="preserve">F. </w:t>
      </w:r>
      <w:proofErr w:type="spellStart"/>
      <w:r w:rsidR="00D45E20">
        <w:t>Aliaj</w:t>
      </w:r>
      <w:proofErr w:type="spellEnd"/>
      <w:r w:rsidR="00D45E20">
        <w:t xml:space="preserve"> </w:t>
      </w:r>
      <w:r w:rsidR="00D45E20">
        <w:rPr>
          <w:i/>
          <w:iCs/>
        </w:rPr>
        <w:t>et al.</w:t>
      </w:r>
      <w:r w:rsidR="00D45E20">
        <w:t xml:space="preserve">, Thermophysical Properties of the 2-Methylpropan-1-ol + Cyclohexane + Benzene Ternary System and Its Binary Subsystems Within the Temperature Range (293.15–333.15) K and Under Ambient Pressure, </w:t>
      </w:r>
      <w:r w:rsidR="00D45E20" w:rsidRPr="00D45E20">
        <w:t xml:space="preserve">Int J </w:t>
      </w:r>
      <w:proofErr w:type="spellStart"/>
      <w:r w:rsidR="00D45E20" w:rsidRPr="00D45E20">
        <w:t>Thermophys</w:t>
      </w:r>
      <w:proofErr w:type="spellEnd"/>
      <w:r w:rsidR="00D45E20" w:rsidRPr="00D45E20">
        <w:t>,</w:t>
      </w:r>
      <w:r w:rsidR="00D45E20">
        <w:t xml:space="preserve"> vol. 44, no. 7, p. 113, Jul. 2023, </w:t>
      </w:r>
      <w:hyperlink r:id="rId12" w:history="1">
        <w:r w:rsidR="00D45E20" w:rsidRPr="00D45E20">
          <w:rPr>
            <w:rStyle w:val="Hyperlink"/>
          </w:rPr>
          <w:t>https://doi.</w:t>
        </w:r>
        <w:r w:rsidR="00D45E20" w:rsidRPr="00D45E20">
          <w:rPr>
            <w:rStyle w:val="Hyperlink"/>
          </w:rPr>
          <w:t>o</w:t>
        </w:r>
        <w:r w:rsidR="00D45E20" w:rsidRPr="00D45E20">
          <w:rPr>
            <w:rStyle w:val="Hyperlink"/>
          </w:rPr>
          <w:t>rg/10.1007/s10765-023-03222-1</w:t>
        </w:r>
      </w:hyperlink>
      <w:r w:rsidR="00D45E20">
        <w:t>.</w:t>
      </w:r>
      <w:r w:rsidR="00D45E20">
        <w:br/>
      </w:r>
    </w:p>
    <w:p w:rsidR="006F529F" w:rsidRPr="00801ECD" w:rsidRDefault="006F529F" w:rsidP="00801ECD">
      <w:pPr>
        <w:spacing w:after="0" w:line="240" w:lineRule="auto"/>
        <w:jc w:val="both"/>
        <w:rPr>
          <w:rFonts w:eastAsia="Gulim" w:cs="Calibri"/>
          <w:b/>
          <w:bCs/>
          <w:sz w:val="24"/>
          <w:szCs w:val="24"/>
        </w:rPr>
      </w:pPr>
    </w:p>
    <w:p w:rsidR="006D5627" w:rsidRDefault="006D5627" w:rsidP="00D45E20">
      <w:pPr>
        <w:autoSpaceDE w:val="0"/>
        <w:autoSpaceDN w:val="0"/>
      </w:pPr>
    </w:p>
    <w:p w:rsidR="001D74CB" w:rsidRPr="001D74CB" w:rsidRDefault="001D74CB" w:rsidP="001D74CB">
      <w:pPr>
        <w:tabs>
          <w:tab w:val="left" w:pos="2505"/>
        </w:tabs>
        <w:rPr>
          <w:rFonts w:eastAsia="Gulim" w:cs="Calibri"/>
        </w:rPr>
      </w:pPr>
    </w:p>
    <w:sectPr w:rsidR="001D74CB" w:rsidRPr="001D74CB" w:rsidSect="00F01E9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624" w:right="1077" w:bottom="624" w:left="1077" w:header="624" w:footer="62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F92" w:rsidRDefault="00CD2F92" w:rsidP="003223FF">
      <w:pPr>
        <w:spacing w:after="0" w:line="240" w:lineRule="auto"/>
      </w:pPr>
      <w:r>
        <w:separator/>
      </w:r>
    </w:p>
  </w:endnote>
  <w:endnote w:type="continuationSeparator" w:id="0">
    <w:p w:rsidR="00CD2F92" w:rsidRDefault="00CD2F92" w:rsidP="0032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FE8" w:rsidRDefault="006A4FE8" w:rsidP="00C832A7">
    <w:pPr>
      <w:pStyle w:val="Footer"/>
      <w:pBdr>
        <w:top w:val="single" w:sz="2" w:space="1" w:color="auto"/>
      </w:pBdr>
    </w:pPr>
    <w:r w:rsidRPr="00C62D70">
      <w:rPr>
        <w:rFonts w:ascii="Century Gothic" w:hAnsi="Century Gothic"/>
        <w:color w:val="000000"/>
        <w:sz w:val="24"/>
        <w:szCs w:val="24"/>
      </w:rPr>
      <w:t xml:space="preserve">March 28-31, 2017 Barcelona (Spain) </w:t>
    </w:r>
    <w:r>
      <w:rPr>
        <w:rFonts w:ascii="Century Gothic" w:hAnsi="Century Gothic"/>
        <w:color w:val="000000"/>
        <w:sz w:val="24"/>
        <w:szCs w:val="24"/>
      </w:rPr>
      <w:t xml:space="preserve">                                                 </w:t>
    </w:r>
    <w:r>
      <w:rPr>
        <w:rFonts w:ascii="Century Gothic" w:hAnsi="Century Gothic"/>
        <w:b/>
        <w:color w:val="000000"/>
        <w:sz w:val="28"/>
        <w:szCs w:val="28"/>
      </w:rPr>
      <w:t>Graphene2017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FE8" w:rsidRPr="00164502" w:rsidRDefault="006A4FE8" w:rsidP="00C601F3">
    <w:pPr>
      <w:pStyle w:val="Footer"/>
      <w:pBdr>
        <w:top w:val="single" w:sz="2" w:space="1" w:color="auto"/>
      </w:pBdr>
      <w:tabs>
        <w:tab w:val="clear" w:pos="8504"/>
      </w:tabs>
      <w:rPr>
        <w:rFonts w:cs="Calibri"/>
        <w:color w:val="000000"/>
        <w:sz w:val="24"/>
        <w:szCs w:val="24"/>
        <w:lang w:val="es-ES"/>
      </w:rPr>
    </w:pPr>
    <w:r w:rsidRPr="00164502">
      <w:rPr>
        <w:rFonts w:cs="Calibri"/>
        <w:b/>
        <w:color w:val="000000"/>
        <w:sz w:val="30"/>
        <w:szCs w:val="30"/>
        <w:lang w:val="es-ES"/>
      </w:rPr>
      <w:t>nanoBalkan202</w:t>
    </w:r>
    <w:r>
      <w:rPr>
        <w:rFonts w:cs="Calibri"/>
        <w:b/>
        <w:color w:val="000000"/>
        <w:sz w:val="30"/>
        <w:szCs w:val="30"/>
        <w:lang w:val="es-ES"/>
      </w:rPr>
      <w:t>4</w:t>
    </w:r>
    <w:r w:rsidRPr="00164502">
      <w:rPr>
        <w:rFonts w:cs="Calibri"/>
        <w:color w:val="000000"/>
        <w:sz w:val="26"/>
        <w:szCs w:val="26"/>
        <w:lang w:val="es-ES"/>
      </w:rPr>
      <w:t xml:space="preserve">                                                     </w:t>
    </w:r>
    <w:r w:rsidRPr="00164502">
      <w:rPr>
        <w:rFonts w:cs="Calibri"/>
        <w:color w:val="000000"/>
        <w:sz w:val="24"/>
        <w:szCs w:val="24"/>
        <w:lang w:val="es-ES"/>
      </w:rPr>
      <w:t xml:space="preserve"> </w:t>
    </w:r>
    <w:r>
      <w:rPr>
        <w:rFonts w:cs="Calibri"/>
        <w:color w:val="000000"/>
        <w:sz w:val="24"/>
        <w:szCs w:val="24"/>
        <w:lang w:val="es-ES"/>
      </w:rPr>
      <w:t xml:space="preserve">   </w:t>
    </w:r>
    <w:r>
      <w:rPr>
        <w:rFonts w:cs="Calibri"/>
        <w:color w:val="000000"/>
        <w:sz w:val="24"/>
        <w:szCs w:val="24"/>
        <w:lang w:val="es-ES"/>
      </w:rPr>
      <w:tab/>
      <w:t xml:space="preserve">                </w:t>
    </w:r>
    <w:r>
      <w:rPr>
        <w:rFonts w:cs="Calibri"/>
        <w:color w:val="000000"/>
        <w:sz w:val="24"/>
        <w:szCs w:val="24"/>
        <w:lang w:val="es-ES"/>
      </w:rPr>
      <w:tab/>
    </w:r>
    <w:r>
      <w:rPr>
        <w:rFonts w:cs="Calibri"/>
        <w:color w:val="000000"/>
        <w:sz w:val="24"/>
        <w:szCs w:val="24"/>
        <w:lang w:val="es-ES"/>
      </w:rPr>
      <w:tab/>
    </w:r>
    <w:r w:rsidRPr="00164502">
      <w:rPr>
        <w:rFonts w:cs="Calibri"/>
        <w:color w:val="000000"/>
        <w:sz w:val="26"/>
        <w:szCs w:val="26"/>
        <w:lang w:val="es-ES"/>
      </w:rPr>
      <w:t>Tirana (Albania)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FE8" w:rsidRDefault="006A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F92" w:rsidRDefault="00CD2F92" w:rsidP="003223FF">
      <w:pPr>
        <w:spacing w:after="0" w:line="240" w:lineRule="auto"/>
      </w:pPr>
      <w:r>
        <w:separator/>
      </w:r>
    </w:p>
  </w:footnote>
  <w:footnote w:type="continuationSeparator" w:id="0">
    <w:p w:rsidR="00CD2F92" w:rsidRDefault="00CD2F92" w:rsidP="00322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FE8" w:rsidRDefault="006A4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FE8" w:rsidRDefault="006A4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4FE8" w:rsidRDefault="006A4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4B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F2F84"/>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1440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C26D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C2723"/>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D24A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9508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6782D"/>
    <w:multiLevelType w:val="hybridMultilevel"/>
    <w:tmpl w:val="DC72B538"/>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E7630"/>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816B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660F5"/>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1032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C0AF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67F04"/>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E72A0"/>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A375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1241D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D7A63"/>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4718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1C400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4D4DD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770D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CD24E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40E7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51C1A"/>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8631C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B93E3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F2F98"/>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2D4F1E"/>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1570C5"/>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1E2FCA"/>
    <w:multiLevelType w:val="hybridMultilevel"/>
    <w:tmpl w:val="34C25C24"/>
    <w:lvl w:ilvl="0" w:tplc="DEAE4AB8">
      <w:start w:val="1"/>
      <w:numFmt w:val="bullet"/>
      <w:lvlText w:val=""/>
      <w:lvlJc w:val="left"/>
      <w:pPr>
        <w:ind w:left="720" w:hanging="360"/>
      </w:pPr>
      <w:rPr>
        <w:rFonts w:ascii="Symbol" w:hAnsi="Symbol" w:hint="default"/>
        <w:color w:val="4F81B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977A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8569C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6913819">
    <w:abstractNumId w:val="7"/>
  </w:num>
  <w:num w:numId="2" w16cid:durableId="1998993790">
    <w:abstractNumId w:val="26"/>
  </w:num>
  <w:num w:numId="3" w16cid:durableId="382020027">
    <w:abstractNumId w:val="13"/>
  </w:num>
  <w:num w:numId="4" w16cid:durableId="763651372">
    <w:abstractNumId w:val="27"/>
  </w:num>
  <w:num w:numId="5" w16cid:durableId="1072583417">
    <w:abstractNumId w:val="18"/>
  </w:num>
  <w:num w:numId="6" w16cid:durableId="1531921017">
    <w:abstractNumId w:val="8"/>
  </w:num>
  <w:num w:numId="7" w16cid:durableId="2118021290">
    <w:abstractNumId w:val="23"/>
  </w:num>
  <w:num w:numId="8" w16cid:durableId="738091268">
    <w:abstractNumId w:val="1"/>
  </w:num>
  <w:num w:numId="9" w16cid:durableId="1050308078">
    <w:abstractNumId w:val="22"/>
  </w:num>
  <w:num w:numId="10" w16cid:durableId="1388457221">
    <w:abstractNumId w:val="11"/>
  </w:num>
  <w:num w:numId="11" w16cid:durableId="872420594">
    <w:abstractNumId w:val="32"/>
  </w:num>
  <w:num w:numId="12" w16cid:durableId="419717788">
    <w:abstractNumId w:val="30"/>
  </w:num>
  <w:num w:numId="13" w16cid:durableId="1898281225">
    <w:abstractNumId w:val="12"/>
  </w:num>
  <w:num w:numId="14" w16cid:durableId="374623662">
    <w:abstractNumId w:val="3"/>
  </w:num>
  <w:num w:numId="15" w16cid:durableId="1679959928">
    <w:abstractNumId w:val="5"/>
  </w:num>
  <w:num w:numId="16" w16cid:durableId="176238085">
    <w:abstractNumId w:val="15"/>
  </w:num>
  <w:num w:numId="17" w16cid:durableId="1669018248">
    <w:abstractNumId w:val="20"/>
  </w:num>
  <w:num w:numId="18" w16cid:durableId="310641119">
    <w:abstractNumId w:val="16"/>
  </w:num>
  <w:num w:numId="19" w16cid:durableId="366026202">
    <w:abstractNumId w:val="24"/>
  </w:num>
  <w:num w:numId="20" w16cid:durableId="1304772212">
    <w:abstractNumId w:val="9"/>
  </w:num>
  <w:num w:numId="21" w16cid:durableId="292295681">
    <w:abstractNumId w:val="25"/>
  </w:num>
  <w:num w:numId="22" w16cid:durableId="494536927">
    <w:abstractNumId w:val="17"/>
  </w:num>
  <w:num w:numId="23" w16cid:durableId="1831019200">
    <w:abstractNumId w:val="31"/>
  </w:num>
  <w:num w:numId="24" w16cid:durableId="2035492879">
    <w:abstractNumId w:val="19"/>
  </w:num>
  <w:num w:numId="25" w16cid:durableId="1880438554">
    <w:abstractNumId w:val="4"/>
  </w:num>
  <w:num w:numId="26" w16cid:durableId="2045057815">
    <w:abstractNumId w:val="0"/>
  </w:num>
  <w:num w:numId="27" w16cid:durableId="395665929">
    <w:abstractNumId w:val="29"/>
  </w:num>
  <w:num w:numId="28" w16cid:durableId="1135022131">
    <w:abstractNumId w:val="6"/>
  </w:num>
  <w:num w:numId="29" w16cid:durableId="1331908463">
    <w:abstractNumId w:val="14"/>
  </w:num>
  <w:num w:numId="30" w16cid:durableId="1759018042">
    <w:abstractNumId w:val="10"/>
  </w:num>
  <w:num w:numId="31" w16cid:durableId="1106928091">
    <w:abstractNumId w:val="28"/>
  </w:num>
  <w:num w:numId="32" w16cid:durableId="561525687">
    <w:abstractNumId w:val="2"/>
  </w:num>
  <w:num w:numId="33" w16cid:durableId="1511397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FA4"/>
    <w:rsid w:val="000061E2"/>
    <w:rsid w:val="00022BDE"/>
    <w:rsid w:val="00026408"/>
    <w:rsid w:val="0005217F"/>
    <w:rsid w:val="000557C5"/>
    <w:rsid w:val="000621A4"/>
    <w:rsid w:val="0007053A"/>
    <w:rsid w:val="0007172E"/>
    <w:rsid w:val="00075C9A"/>
    <w:rsid w:val="00081CAA"/>
    <w:rsid w:val="000A20B3"/>
    <w:rsid w:val="000B7A50"/>
    <w:rsid w:val="000E1A1D"/>
    <w:rsid w:val="000E36EF"/>
    <w:rsid w:val="000F7C58"/>
    <w:rsid w:val="001157D6"/>
    <w:rsid w:val="00124A4F"/>
    <w:rsid w:val="00137D12"/>
    <w:rsid w:val="00144AFA"/>
    <w:rsid w:val="001464F7"/>
    <w:rsid w:val="00161E65"/>
    <w:rsid w:val="00164502"/>
    <w:rsid w:val="001B0DE5"/>
    <w:rsid w:val="001B237B"/>
    <w:rsid w:val="001C7966"/>
    <w:rsid w:val="001D2B40"/>
    <w:rsid w:val="001D74CB"/>
    <w:rsid w:val="001F41EA"/>
    <w:rsid w:val="001F6D66"/>
    <w:rsid w:val="00215BE5"/>
    <w:rsid w:val="00216B6F"/>
    <w:rsid w:val="002205F6"/>
    <w:rsid w:val="00220BA5"/>
    <w:rsid w:val="0022671B"/>
    <w:rsid w:val="00230DF9"/>
    <w:rsid w:val="00235652"/>
    <w:rsid w:val="00241756"/>
    <w:rsid w:val="002464AE"/>
    <w:rsid w:val="00252481"/>
    <w:rsid w:val="00264EF0"/>
    <w:rsid w:val="00294095"/>
    <w:rsid w:val="002A7F8F"/>
    <w:rsid w:val="002B0F54"/>
    <w:rsid w:val="002E1568"/>
    <w:rsid w:val="00303D4A"/>
    <w:rsid w:val="003223FF"/>
    <w:rsid w:val="00325502"/>
    <w:rsid w:val="00342952"/>
    <w:rsid w:val="0034590A"/>
    <w:rsid w:val="00382025"/>
    <w:rsid w:val="003A3B36"/>
    <w:rsid w:val="003A6B6D"/>
    <w:rsid w:val="003D027A"/>
    <w:rsid w:val="003D5813"/>
    <w:rsid w:val="003D68A2"/>
    <w:rsid w:val="003D6ECB"/>
    <w:rsid w:val="003E16ED"/>
    <w:rsid w:val="003F23EB"/>
    <w:rsid w:val="003F65A1"/>
    <w:rsid w:val="00405607"/>
    <w:rsid w:val="00415D8B"/>
    <w:rsid w:val="00444CCB"/>
    <w:rsid w:val="00467520"/>
    <w:rsid w:val="004726B5"/>
    <w:rsid w:val="00474C38"/>
    <w:rsid w:val="00487276"/>
    <w:rsid w:val="00494F49"/>
    <w:rsid w:val="004B239F"/>
    <w:rsid w:val="004D08FF"/>
    <w:rsid w:val="004E67BB"/>
    <w:rsid w:val="00512C7F"/>
    <w:rsid w:val="0052063E"/>
    <w:rsid w:val="00523CFE"/>
    <w:rsid w:val="00532D42"/>
    <w:rsid w:val="005649F8"/>
    <w:rsid w:val="00585485"/>
    <w:rsid w:val="005A1E55"/>
    <w:rsid w:val="005C2A5B"/>
    <w:rsid w:val="006045E1"/>
    <w:rsid w:val="00633DCA"/>
    <w:rsid w:val="0063623B"/>
    <w:rsid w:val="00643F9E"/>
    <w:rsid w:val="00644D17"/>
    <w:rsid w:val="00645FA5"/>
    <w:rsid w:val="006513CB"/>
    <w:rsid w:val="0066606F"/>
    <w:rsid w:val="00667F4D"/>
    <w:rsid w:val="00671998"/>
    <w:rsid w:val="00672A11"/>
    <w:rsid w:val="00690C61"/>
    <w:rsid w:val="006A0AC7"/>
    <w:rsid w:val="006A4FE8"/>
    <w:rsid w:val="006A5C6A"/>
    <w:rsid w:val="006B250A"/>
    <w:rsid w:val="006D5627"/>
    <w:rsid w:val="006E0DBB"/>
    <w:rsid w:val="006E452F"/>
    <w:rsid w:val="006F529F"/>
    <w:rsid w:val="00701A08"/>
    <w:rsid w:val="0070509D"/>
    <w:rsid w:val="00707206"/>
    <w:rsid w:val="00712B56"/>
    <w:rsid w:val="00714E76"/>
    <w:rsid w:val="007247F9"/>
    <w:rsid w:val="00735211"/>
    <w:rsid w:val="00737C15"/>
    <w:rsid w:val="00770E4C"/>
    <w:rsid w:val="007956D8"/>
    <w:rsid w:val="007A1B21"/>
    <w:rsid w:val="007C14DA"/>
    <w:rsid w:val="007E036F"/>
    <w:rsid w:val="007F1BFB"/>
    <w:rsid w:val="0080018F"/>
    <w:rsid w:val="00801ECD"/>
    <w:rsid w:val="008042B3"/>
    <w:rsid w:val="00836457"/>
    <w:rsid w:val="008776AE"/>
    <w:rsid w:val="00881923"/>
    <w:rsid w:val="008840AF"/>
    <w:rsid w:val="00896316"/>
    <w:rsid w:val="008A4501"/>
    <w:rsid w:val="008D292E"/>
    <w:rsid w:val="008D60CB"/>
    <w:rsid w:val="008D6644"/>
    <w:rsid w:val="008F4C70"/>
    <w:rsid w:val="008F5BEC"/>
    <w:rsid w:val="008F65EC"/>
    <w:rsid w:val="008F67DF"/>
    <w:rsid w:val="00903AAB"/>
    <w:rsid w:val="00923845"/>
    <w:rsid w:val="0093776F"/>
    <w:rsid w:val="00957AAF"/>
    <w:rsid w:val="009656EE"/>
    <w:rsid w:val="00967B21"/>
    <w:rsid w:val="0098794A"/>
    <w:rsid w:val="009B28B6"/>
    <w:rsid w:val="009D5C21"/>
    <w:rsid w:val="009F4625"/>
    <w:rsid w:val="009F4AA0"/>
    <w:rsid w:val="00A30F0B"/>
    <w:rsid w:val="00A353B3"/>
    <w:rsid w:val="00A37BE3"/>
    <w:rsid w:val="00A72C1A"/>
    <w:rsid w:val="00A7477F"/>
    <w:rsid w:val="00A912FF"/>
    <w:rsid w:val="00AC1534"/>
    <w:rsid w:val="00AC64C2"/>
    <w:rsid w:val="00AD3100"/>
    <w:rsid w:val="00AD6D8A"/>
    <w:rsid w:val="00B10C1B"/>
    <w:rsid w:val="00B33A75"/>
    <w:rsid w:val="00B422A4"/>
    <w:rsid w:val="00B54F99"/>
    <w:rsid w:val="00B63526"/>
    <w:rsid w:val="00B80E75"/>
    <w:rsid w:val="00B828E3"/>
    <w:rsid w:val="00B83CA0"/>
    <w:rsid w:val="00B94949"/>
    <w:rsid w:val="00BA04AB"/>
    <w:rsid w:val="00BA0E7D"/>
    <w:rsid w:val="00BA6D27"/>
    <w:rsid w:val="00BB7CC8"/>
    <w:rsid w:val="00BC4F75"/>
    <w:rsid w:val="00BF27A2"/>
    <w:rsid w:val="00BF65D9"/>
    <w:rsid w:val="00BF72D3"/>
    <w:rsid w:val="00C00A55"/>
    <w:rsid w:val="00C05980"/>
    <w:rsid w:val="00C51AE7"/>
    <w:rsid w:val="00C601F3"/>
    <w:rsid w:val="00C62D70"/>
    <w:rsid w:val="00C832A7"/>
    <w:rsid w:val="00C84283"/>
    <w:rsid w:val="00C84C2F"/>
    <w:rsid w:val="00CA4E6A"/>
    <w:rsid w:val="00CC1080"/>
    <w:rsid w:val="00CD2F92"/>
    <w:rsid w:val="00CE2F18"/>
    <w:rsid w:val="00D13751"/>
    <w:rsid w:val="00D1640A"/>
    <w:rsid w:val="00D335C7"/>
    <w:rsid w:val="00D45E20"/>
    <w:rsid w:val="00D52FA4"/>
    <w:rsid w:val="00D57EDC"/>
    <w:rsid w:val="00D64EDA"/>
    <w:rsid w:val="00D706CB"/>
    <w:rsid w:val="00D74DB3"/>
    <w:rsid w:val="00D83FAA"/>
    <w:rsid w:val="00D87A20"/>
    <w:rsid w:val="00D95CCF"/>
    <w:rsid w:val="00D96815"/>
    <w:rsid w:val="00D96AE6"/>
    <w:rsid w:val="00D976AB"/>
    <w:rsid w:val="00DA26B0"/>
    <w:rsid w:val="00DD484F"/>
    <w:rsid w:val="00E002D9"/>
    <w:rsid w:val="00E3331A"/>
    <w:rsid w:val="00E35459"/>
    <w:rsid w:val="00E401E9"/>
    <w:rsid w:val="00E63404"/>
    <w:rsid w:val="00E82448"/>
    <w:rsid w:val="00E9079E"/>
    <w:rsid w:val="00EA4A52"/>
    <w:rsid w:val="00EB3980"/>
    <w:rsid w:val="00EC0BC9"/>
    <w:rsid w:val="00EC785F"/>
    <w:rsid w:val="00ED437A"/>
    <w:rsid w:val="00ED611C"/>
    <w:rsid w:val="00EF135A"/>
    <w:rsid w:val="00F01E9A"/>
    <w:rsid w:val="00F04736"/>
    <w:rsid w:val="00F05CA5"/>
    <w:rsid w:val="00F12FC1"/>
    <w:rsid w:val="00F339B4"/>
    <w:rsid w:val="00F6708C"/>
    <w:rsid w:val="00F67379"/>
    <w:rsid w:val="00F73D83"/>
    <w:rsid w:val="00FA51E6"/>
    <w:rsid w:val="00FE788C"/>
    <w:rsid w:val="00FF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65D9E"/>
  <w15:docId w15:val="{E9704194-B187-3C48-9E6F-DD7B04C7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29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F529F"/>
    <w:rPr>
      <w:rFonts w:ascii="Tahoma" w:hAnsi="Tahoma" w:cs="Tahoma"/>
      <w:sz w:val="16"/>
      <w:szCs w:val="16"/>
    </w:rPr>
  </w:style>
  <w:style w:type="paragraph" w:styleId="ListParagraph">
    <w:name w:val="List Paragraph"/>
    <w:basedOn w:val="Normal"/>
    <w:uiPriority w:val="34"/>
    <w:qFormat/>
    <w:rsid w:val="00A7477F"/>
    <w:pPr>
      <w:ind w:left="720"/>
      <w:contextualSpacing/>
    </w:pPr>
  </w:style>
  <w:style w:type="paragraph" w:styleId="Header">
    <w:name w:val="header"/>
    <w:basedOn w:val="Normal"/>
    <w:link w:val="HeaderChar"/>
    <w:uiPriority w:val="99"/>
    <w:unhideWhenUsed/>
    <w:rsid w:val="003223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223FF"/>
  </w:style>
  <w:style w:type="paragraph" w:styleId="Footer">
    <w:name w:val="footer"/>
    <w:basedOn w:val="Normal"/>
    <w:link w:val="FooterChar"/>
    <w:uiPriority w:val="99"/>
    <w:unhideWhenUsed/>
    <w:rsid w:val="003223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223FF"/>
  </w:style>
  <w:style w:type="paragraph" w:customStyle="1" w:styleId="2909F619802848F09E01365C32F34654">
    <w:name w:val="2909F619802848F09E01365C32F34654"/>
    <w:rsid w:val="003223FF"/>
    <w:pPr>
      <w:spacing w:after="200" w:line="276" w:lineRule="auto"/>
    </w:pPr>
    <w:rPr>
      <w:rFonts w:eastAsia="Times New Roman"/>
      <w:sz w:val="22"/>
      <w:szCs w:val="22"/>
      <w:lang w:val="en-GB" w:eastAsia="en-GB"/>
    </w:rPr>
  </w:style>
  <w:style w:type="table" w:styleId="TableGrid">
    <w:name w:val="Table Grid"/>
    <w:basedOn w:val="TableNormal"/>
    <w:uiPriority w:val="59"/>
    <w:rsid w:val="00BA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B6D"/>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rsid w:val="00075C9A"/>
    <w:pPr>
      <w:spacing w:beforeLines="1" w:afterLines="1" w:after="0" w:line="240" w:lineRule="auto"/>
    </w:pPr>
    <w:rPr>
      <w:rFonts w:ascii="Times" w:eastAsia="Times New Roman" w:hAnsi="Times"/>
      <w:sz w:val="20"/>
      <w:szCs w:val="20"/>
      <w:lang w:val="en-US" w:eastAsia="fr-FR"/>
    </w:rPr>
  </w:style>
  <w:style w:type="paragraph" w:customStyle="1" w:styleId="textonormal">
    <w:name w:val="textonormal"/>
    <w:basedOn w:val="Normal"/>
    <w:rsid w:val="005649F8"/>
    <w:pPr>
      <w:spacing w:before="100" w:beforeAutospacing="1" w:after="100" w:afterAutospacing="1" w:line="240" w:lineRule="auto"/>
    </w:pPr>
    <w:rPr>
      <w:rFonts w:ascii="Verdana" w:eastAsia="Times New Roman" w:hAnsi="Verdana"/>
      <w:color w:val="000000"/>
      <w:sz w:val="18"/>
      <w:szCs w:val="18"/>
      <w:lang w:val="es-ES" w:eastAsia="es-ES"/>
    </w:rPr>
  </w:style>
  <w:style w:type="character" w:styleId="Hyperlink">
    <w:name w:val="Hyperlink"/>
    <w:basedOn w:val="DefaultParagraphFont"/>
    <w:uiPriority w:val="99"/>
    <w:unhideWhenUsed/>
    <w:rsid w:val="00DD484F"/>
    <w:rPr>
      <w:color w:val="0563C1" w:themeColor="hyperlink"/>
      <w:u w:val="single"/>
    </w:rPr>
  </w:style>
  <w:style w:type="character" w:styleId="UnresolvedMention">
    <w:name w:val="Unresolved Mention"/>
    <w:basedOn w:val="DefaultParagraphFont"/>
    <w:uiPriority w:val="99"/>
    <w:semiHidden/>
    <w:unhideWhenUsed/>
    <w:rsid w:val="006D5627"/>
    <w:rPr>
      <w:color w:val="605E5C"/>
      <w:shd w:val="clear" w:color="auto" w:fill="E1DFDD"/>
    </w:rPr>
  </w:style>
  <w:style w:type="character" w:styleId="FollowedHyperlink">
    <w:name w:val="FollowedHyperlink"/>
    <w:basedOn w:val="DefaultParagraphFont"/>
    <w:uiPriority w:val="99"/>
    <w:semiHidden/>
    <w:unhideWhenUsed/>
    <w:rsid w:val="00D45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er.musliu@student.uni-p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765-023-03222-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541/ijot.11735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16/j.molliq.2023.1222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molliq.2021.11589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F6E6F-44DE-41F9-9F45-31CA46CC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Pages>
  <Words>445</Words>
  <Characters>2542</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Phantoms Foundation</dc:creator>
  <cp:lastModifiedBy>Microsoft Office User</cp:lastModifiedBy>
  <cp:revision>10</cp:revision>
  <cp:lastPrinted>2016-10-26T15:14:00Z</cp:lastPrinted>
  <dcterms:created xsi:type="dcterms:W3CDTF">2024-09-07T04:54:00Z</dcterms:created>
  <dcterms:modified xsi:type="dcterms:W3CDTF">2024-09-12T11:05:00Z</dcterms:modified>
</cp:coreProperties>
</file>