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B79" w14:textId="77777777" w:rsidR="00667F4D" w:rsidRPr="00164502" w:rsidRDefault="00940ED2" w:rsidP="00667F4D">
      <w:pPr>
        <w:spacing w:after="0" w:line="240" w:lineRule="auto"/>
        <w:jc w:val="center"/>
        <w:rPr>
          <w:rFonts w:eastAsia="Gulim" w:cs="Calibri"/>
          <w:b/>
          <w:spacing w:val="-10"/>
          <w:sz w:val="30"/>
          <w:szCs w:val="30"/>
        </w:rPr>
      </w:pPr>
      <w:r>
        <w:rPr>
          <w:rFonts w:eastAsia="Gulim" w:cs="Calibri"/>
          <w:b/>
          <w:spacing w:val="-10"/>
          <w:sz w:val="30"/>
          <w:szCs w:val="30"/>
        </w:rPr>
        <w:t>Removal of methyl blue and bromophenol blue by Fenton process from aqueous solution</w:t>
      </w:r>
    </w:p>
    <w:p w14:paraId="266EFB83" w14:textId="77777777" w:rsidR="0005217F" w:rsidRPr="00164502" w:rsidRDefault="0005217F" w:rsidP="00B83CA0">
      <w:pPr>
        <w:pBdr>
          <w:top w:val="single" w:sz="4" w:space="1" w:color="auto"/>
          <w:bottom w:val="single" w:sz="4" w:space="1" w:color="auto"/>
        </w:pBdr>
        <w:spacing w:after="0" w:line="240" w:lineRule="auto"/>
        <w:jc w:val="both"/>
        <w:rPr>
          <w:rFonts w:eastAsia="Gulim" w:cs="Calibri"/>
          <w:b/>
        </w:rPr>
      </w:pPr>
    </w:p>
    <w:p w14:paraId="0AB3A02B" w14:textId="77777777" w:rsidR="006F529F" w:rsidRPr="00940ED2" w:rsidRDefault="00940ED2" w:rsidP="00B83CA0">
      <w:pPr>
        <w:pBdr>
          <w:top w:val="single" w:sz="4" w:space="1" w:color="auto"/>
          <w:bottom w:val="single" w:sz="4" w:space="1" w:color="auto"/>
        </w:pBdr>
        <w:spacing w:after="0" w:line="240" w:lineRule="auto"/>
        <w:jc w:val="both"/>
        <w:rPr>
          <w:rFonts w:eastAsia="Gulim" w:cs="Calibri"/>
          <w:b/>
          <w:lang w:val="fr-FR"/>
        </w:rPr>
      </w:pPr>
      <w:r w:rsidRPr="00940ED2">
        <w:rPr>
          <w:rFonts w:eastAsia="Gulim" w:cs="Calibri"/>
          <w:b/>
          <w:lang w:val="fr-FR"/>
        </w:rPr>
        <w:t xml:space="preserve">Granit </w:t>
      </w:r>
      <w:proofErr w:type="spellStart"/>
      <w:r w:rsidRPr="00940ED2">
        <w:rPr>
          <w:rFonts w:eastAsia="Gulim" w:cs="Calibri"/>
          <w:b/>
          <w:lang w:val="fr-FR"/>
        </w:rPr>
        <w:t>Kastrati</w:t>
      </w:r>
      <w:proofErr w:type="spellEnd"/>
      <w:r w:rsidRPr="00940ED2">
        <w:rPr>
          <w:rFonts w:eastAsia="Gulim" w:cs="Calibri"/>
          <w:b/>
          <w:lang w:val="fr-FR"/>
        </w:rPr>
        <w:t xml:space="preserve"> </w:t>
      </w:r>
      <w:r w:rsidR="008F38D2" w:rsidRPr="00940ED2">
        <w:rPr>
          <w:rFonts w:eastAsia="Gulim" w:cs="Calibri"/>
          <w:b/>
          <w:vertAlign w:val="superscript"/>
          <w:lang w:val="fr-FR"/>
        </w:rPr>
        <w:t>b</w:t>
      </w:r>
      <w:r w:rsidR="008F38D2" w:rsidRPr="00940ED2">
        <w:rPr>
          <w:rFonts w:eastAsia="Gulim" w:cs="Calibri"/>
          <w:b/>
          <w:lang w:val="fr-FR"/>
        </w:rPr>
        <w:t xml:space="preserve"> </w:t>
      </w:r>
    </w:p>
    <w:p w14:paraId="2814415A" w14:textId="77777777" w:rsidR="008F67DF" w:rsidRPr="008A7740" w:rsidRDefault="00940ED2" w:rsidP="00B83CA0">
      <w:pPr>
        <w:pBdr>
          <w:top w:val="single" w:sz="4" w:space="1" w:color="auto"/>
          <w:bottom w:val="single" w:sz="4" w:space="1" w:color="auto"/>
        </w:pBdr>
        <w:spacing w:after="0" w:line="240" w:lineRule="auto"/>
        <w:jc w:val="both"/>
        <w:rPr>
          <w:rFonts w:eastAsia="Gulim" w:cs="Calibri"/>
          <w:sz w:val="20"/>
          <w:szCs w:val="20"/>
          <w:lang w:val="en-US"/>
        </w:rPr>
      </w:pPr>
      <w:r w:rsidRPr="008A7740">
        <w:rPr>
          <w:rFonts w:eastAsia="Gulim" w:cs="Calibri"/>
          <w:sz w:val="20"/>
          <w:szCs w:val="20"/>
          <w:lang w:val="en-US"/>
        </w:rPr>
        <w:t xml:space="preserve">Flamur </w:t>
      </w:r>
      <w:proofErr w:type="spellStart"/>
      <w:proofErr w:type="gramStart"/>
      <w:r w:rsidRPr="008A7740">
        <w:rPr>
          <w:rFonts w:eastAsia="Gulim" w:cs="Calibri"/>
          <w:sz w:val="20"/>
          <w:szCs w:val="20"/>
          <w:lang w:val="en-US"/>
        </w:rPr>
        <w:t>Sopaj</w:t>
      </w:r>
      <w:r w:rsidR="003718A4" w:rsidRPr="008A7740">
        <w:rPr>
          <w:rFonts w:eastAsia="Gulim" w:cs="Calibri"/>
          <w:sz w:val="20"/>
          <w:szCs w:val="20"/>
          <w:vertAlign w:val="superscript"/>
          <w:lang w:val="en-US"/>
        </w:rPr>
        <w:t>a</w:t>
      </w:r>
      <w:r w:rsidRPr="008A7740">
        <w:rPr>
          <w:rFonts w:eastAsia="Gulim" w:cs="Calibri"/>
          <w:sz w:val="20"/>
          <w:szCs w:val="20"/>
          <w:vertAlign w:val="superscript"/>
          <w:lang w:val="en-US"/>
        </w:rPr>
        <w:t>,c</w:t>
      </w:r>
      <w:proofErr w:type="spellEnd"/>
      <w:proofErr w:type="gramEnd"/>
      <w:r w:rsidR="008F38D2" w:rsidRPr="008A7740">
        <w:rPr>
          <w:rFonts w:eastAsia="Gulim" w:cs="Calibri"/>
          <w:sz w:val="20"/>
          <w:szCs w:val="20"/>
          <w:lang w:val="en-US"/>
        </w:rPr>
        <w:t xml:space="preserve"> </w:t>
      </w:r>
    </w:p>
    <w:p w14:paraId="2C1BE839" w14:textId="77777777" w:rsidR="008F38D2" w:rsidRDefault="008F38D2" w:rsidP="008F38D2">
      <w:pPr>
        <w:pBdr>
          <w:top w:val="single" w:sz="4" w:space="1" w:color="auto"/>
          <w:bottom w:val="single" w:sz="4" w:space="1" w:color="auto"/>
        </w:pBdr>
        <w:spacing w:after="0" w:line="240" w:lineRule="auto"/>
        <w:jc w:val="both"/>
        <w:rPr>
          <w:rFonts w:eastAsia="Gulim" w:cs="Calibri"/>
          <w:i/>
          <w:sz w:val="20"/>
          <w:szCs w:val="20"/>
        </w:rPr>
      </w:pPr>
      <w:proofErr w:type="spellStart"/>
      <w:r w:rsidRPr="008F38D2">
        <w:rPr>
          <w:rFonts w:eastAsia="Gulim" w:cs="Calibri"/>
          <w:i/>
          <w:sz w:val="20"/>
          <w:szCs w:val="20"/>
          <w:vertAlign w:val="superscript"/>
        </w:rPr>
        <w:t>a</w:t>
      </w:r>
      <w:r w:rsidRPr="008F38D2">
        <w:rPr>
          <w:rFonts w:eastAsia="Gulim" w:cs="Calibri"/>
          <w:i/>
          <w:sz w:val="20"/>
          <w:szCs w:val="20"/>
        </w:rPr>
        <w:t>Department</w:t>
      </w:r>
      <w:proofErr w:type="spellEnd"/>
      <w:r w:rsidRPr="008F38D2">
        <w:rPr>
          <w:rFonts w:eastAsia="Gulim" w:cs="Calibri"/>
          <w:i/>
          <w:sz w:val="20"/>
          <w:szCs w:val="20"/>
        </w:rPr>
        <w:t xml:space="preserve"> of Chemistry, Faculty of Natural and Mathematical Sciences, University of Prishtina, </w:t>
      </w:r>
      <w:proofErr w:type="spellStart"/>
      <w:r w:rsidRPr="008F38D2">
        <w:rPr>
          <w:rFonts w:eastAsia="Gulim" w:cs="Calibri"/>
          <w:i/>
          <w:sz w:val="20"/>
          <w:szCs w:val="20"/>
        </w:rPr>
        <w:t>st.</w:t>
      </w:r>
      <w:proofErr w:type="spellEnd"/>
      <w:r w:rsidRPr="008F38D2">
        <w:rPr>
          <w:rFonts w:eastAsia="Gulim" w:cs="Calibri"/>
          <w:i/>
          <w:sz w:val="20"/>
          <w:szCs w:val="20"/>
        </w:rPr>
        <w:t xml:space="preserve"> George Bush, 10000 Prishtina, Republic of Kosovo</w:t>
      </w:r>
    </w:p>
    <w:p w14:paraId="45A893F8" w14:textId="77777777" w:rsidR="00940ED2" w:rsidRPr="008F38D2" w:rsidRDefault="00940ED2" w:rsidP="008F38D2">
      <w:pPr>
        <w:pBdr>
          <w:top w:val="single" w:sz="4" w:space="1" w:color="auto"/>
          <w:bottom w:val="single" w:sz="4" w:space="1" w:color="auto"/>
        </w:pBdr>
        <w:spacing w:after="0" w:line="240" w:lineRule="auto"/>
        <w:jc w:val="both"/>
        <w:rPr>
          <w:rFonts w:eastAsia="Gulim" w:cs="Calibri"/>
          <w:i/>
          <w:sz w:val="20"/>
          <w:szCs w:val="20"/>
        </w:rPr>
      </w:pPr>
      <w:proofErr w:type="spellStart"/>
      <w:r w:rsidRPr="00940ED2">
        <w:rPr>
          <w:rFonts w:eastAsia="Gulim" w:cs="Calibri"/>
          <w:i/>
          <w:sz w:val="20"/>
          <w:szCs w:val="20"/>
          <w:vertAlign w:val="superscript"/>
        </w:rPr>
        <w:t>b</w:t>
      </w:r>
      <w:r w:rsidRPr="00940ED2">
        <w:rPr>
          <w:rFonts w:eastAsia="Gulim" w:cs="Calibri"/>
          <w:i/>
          <w:sz w:val="20"/>
          <w:szCs w:val="20"/>
        </w:rPr>
        <w:t>Faculty</w:t>
      </w:r>
      <w:proofErr w:type="spellEnd"/>
      <w:r w:rsidRPr="00940ED2">
        <w:rPr>
          <w:rFonts w:eastAsia="Gulim" w:cs="Calibri"/>
          <w:i/>
          <w:sz w:val="20"/>
          <w:szCs w:val="20"/>
        </w:rPr>
        <w:t xml:space="preserve"> of Agribusiness, University of Peja “Haxhi Zeka”, Street UҪK 30000, </w:t>
      </w:r>
      <w:proofErr w:type="spellStart"/>
      <w:r w:rsidRPr="00940ED2">
        <w:rPr>
          <w:rFonts w:eastAsia="Gulim" w:cs="Calibri"/>
          <w:i/>
          <w:sz w:val="20"/>
          <w:szCs w:val="20"/>
        </w:rPr>
        <w:t>Pejë</w:t>
      </w:r>
      <w:proofErr w:type="spellEnd"/>
      <w:r w:rsidRPr="00940ED2">
        <w:rPr>
          <w:rFonts w:eastAsia="Gulim" w:cs="Calibri"/>
          <w:i/>
          <w:sz w:val="20"/>
          <w:szCs w:val="20"/>
        </w:rPr>
        <w:t>, Kosovo</w:t>
      </w:r>
    </w:p>
    <w:p w14:paraId="6F4172F3" w14:textId="77777777" w:rsidR="00E82448" w:rsidRPr="00164502" w:rsidRDefault="00940ED2" w:rsidP="008F38D2">
      <w:pPr>
        <w:pBdr>
          <w:top w:val="single" w:sz="4" w:space="1" w:color="auto"/>
          <w:bottom w:val="single" w:sz="4" w:space="1" w:color="auto"/>
        </w:pBdr>
        <w:spacing w:after="0" w:line="240" w:lineRule="auto"/>
        <w:jc w:val="both"/>
        <w:rPr>
          <w:rFonts w:eastAsia="Gulim" w:cs="Calibri"/>
          <w:i/>
          <w:sz w:val="20"/>
          <w:szCs w:val="20"/>
        </w:rPr>
      </w:pPr>
      <w:proofErr w:type="spellStart"/>
      <w:r>
        <w:rPr>
          <w:rFonts w:eastAsia="Gulim" w:cs="Calibri"/>
          <w:i/>
          <w:sz w:val="20"/>
          <w:szCs w:val="20"/>
          <w:vertAlign w:val="superscript"/>
        </w:rPr>
        <w:t>c</w:t>
      </w:r>
      <w:r w:rsidR="008F38D2" w:rsidRPr="008F38D2">
        <w:rPr>
          <w:rFonts w:eastAsia="Gulim" w:cs="Calibri"/>
          <w:i/>
          <w:sz w:val="20"/>
          <w:szCs w:val="20"/>
        </w:rPr>
        <w:t>Academy</w:t>
      </w:r>
      <w:proofErr w:type="spellEnd"/>
      <w:r w:rsidR="008F38D2" w:rsidRPr="008F38D2">
        <w:rPr>
          <w:rFonts w:eastAsia="Gulim" w:cs="Calibri"/>
          <w:i/>
          <w:sz w:val="20"/>
          <w:szCs w:val="20"/>
        </w:rPr>
        <w:t xml:space="preserve"> of Science of Albania, Unit of Albanian Nano-science and Nanotechnology - </w:t>
      </w:r>
      <w:proofErr w:type="spellStart"/>
      <w:r w:rsidR="008F38D2" w:rsidRPr="008F38D2">
        <w:rPr>
          <w:rFonts w:eastAsia="Gulim" w:cs="Calibri"/>
          <w:i/>
          <w:sz w:val="20"/>
          <w:szCs w:val="20"/>
        </w:rPr>
        <w:t>NanoAlb</w:t>
      </w:r>
      <w:proofErr w:type="spellEnd"/>
      <w:r w:rsidR="008F38D2" w:rsidRPr="008F38D2">
        <w:rPr>
          <w:rFonts w:eastAsia="Gulim" w:cs="Calibri"/>
          <w:i/>
          <w:sz w:val="20"/>
          <w:szCs w:val="20"/>
        </w:rPr>
        <w:t xml:space="preserve"> 1000 Tirana, Albania</w:t>
      </w:r>
      <w:r w:rsidR="00667F4D" w:rsidRPr="00164502">
        <w:rPr>
          <w:rFonts w:eastAsia="Gulim" w:cs="Calibri"/>
          <w:i/>
          <w:sz w:val="20"/>
          <w:szCs w:val="20"/>
        </w:rPr>
        <w:t xml:space="preserve"> </w:t>
      </w:r>
    </w:p>
    <w:p w14:paraId="3CE3B6A9" w14:textId="77777777" w:rsidR="008F38D2" w:rsidRPr="005C2276" w:rsidRDefault="008F38D2" w:rsidP="00B83CA0">
      <w:pPr>
        <w:pBdr>
          <w:top w:val="single" w:sz="4" w:space="1" w:color="auto"/>
          <w:bottom w:val="single" w:sz="4" w:space="1" w:color="auto"/>
        </w:pBdr>
        <w:spacing w:after="0" w:line="240" w:lineRule="auto"/>
        <w:jc w:val="both"/>
        <w:rPr>
          <w:rFonts w:eastAsia="Gulim" w:cs="Calibri"/>
          <w:color w:val="4F81BD"/>
          <w:sz w:val="20"/>
          <w:szCs w:val="20"/>
          <w:lang w:val="fr-FR"/>
        </w:rPr>
      </w:pPr>
      <w:r w:rsidRPr="005C2276">
        <w:rPr>
          <w:rFonts w:eastAsia="Gulim" w:cs="Calibri"/>
          <w:color w:val="4F81BD"/>
          <w:sz w:val="20"/>
          <w:szCs w:val="20"/>
          <w:lang w:val="fr-FR"/>
        </w:rPr>
        <w:t xml:space="preserve">flamur.sopaj@uni-pr.edu </w:t>
      </w:r>
    </w:p>
    <w:p w14:paraId="06E337E8" w14:textId="77777777" w:rsidR="008F67DF" w:rsidRPr="005C2276" w:rsidRDefault="008F67DF" w:rsidP="00B83CA0">
      <w:pPr>
        <w:pBdr>
          <w:top w:val="single" w:sz="4" w:space="1" w:color="auto"/>
          <w:bottom w:val="single" w:sz="4" w:space="1" w:color="auto"/>
        </w:pBdr>
        <w:spacing w:after="0" w:line="240" w:lineRule="auto"/>
        <w:jc w:val="both"/>
        <w:rPr>
          <w:rFonts w:eastAsia="Gulim" w:cs="Calibri"/>
          <w:sz w:val="20"/>
          <w:szCs w:val="20"/>
          <w:lang w:val="fr-FR"/>
        </w:rPr>
      </w:pPr>
    </w:p>
    <w:p w14:paraId="55E46FD5" w14:textId="77777777" w:rsidR="00735211" w:rsidRPr="005C2276" w:rsidRDefault="00735211" w:rsidP="00B83CA0">
      <w:pPr>
        <w:spacing w:after="0" w:line="240" w:lineRule="auto"/>
        <w:jc w:val="both"/>
        <w:rPr>
          <w:rFonts w:eastAsia="Gulim" w:cs="Calibri"/>
          <w:b/>
          <w:sz w:val="20"/>
          <w:szCs w:val="20"/>
          <w:lang w:val="fr-FR"/>
        </w:rPr>
      </w:pPr>
    </w:p>
    <w:p w14:paraId="37A33331" w14:textId="77777777" w:rsidR="00FF4A58" w:rsidRPr="005C2276" w:rsidRDefault="008F67DF" w:rsidP="00B83CA0">
      <w:pPr>
        <w:spacing w:after="0" w:line="240" w:lineRule="auto"/>
        <w:rPr>
          <w:rFonts w:eastAsia="Gulim" w:cs="Calibri"/>
          <w:spacing w:val="-2"/>
          <w:sz w:val="24"/>
          <w:szCs w:val="24"/>
          <w:lang w:val="fr-FR"/>
        </w:rPr>
      </w:pPr>
      <w:r w:rsidRPr="005C2276">
        <w:rPr>
          <w:rFonts w:eastAsia="Gulim" w:cs="Calibri"/>
          <w:spacing w:val="-2"/>
          <w:sz w:val="24"/>
          <w:szCs w:val="24"/>
          <w:lang w:val="fr-FR"/>
        </w:rPr>
        <w:t xml:space="preserve">Abstract </w:t>
      </w:r>
    </w:p>
    <w:p w14:paraId="0AEFBF76" w14:textId="77777777" w:rsidR="008F67DF" w:rsidRPr="005C2276" w:rsidRDefault="008F67DF" w:rsidP="00B83CA0">
      <w:pPr>
        <w:spacing w:after="0" w:line="240" w:lineRule="auto"/>
        <w:rPr>
          <w:rFonts w:eastAsia="Gulim" w:cs="Calibri"/>
          <w:spacing w:val="-2"/>
          <w:sz w:val="24"/>
          <w:szCs w:val="24"/>
          <w:lang w:val="fr-FR"/>
        </w:rPr>
      </w:pPr>
    </w:p>
    <w:p w14:paraId="2A90D17C" w14:textId="77777777" w:rsidR="007956D8" w:rsidRDefault="00630F96" w:rsidP="008F38D2">
      <w:pPr>
        <w:spacing w:after="0" w:line="240" w:lineRule="auto"/>
        <w:jc w:val="both"/>
        <w:rPr>
          <w:rFonts w:eastAsia="Gulim" w:cs="Calibri"/>
          <w:spacing w:val="-2"/>
          <w:sz w:val="24"/>
          <w:szCs w:val="24"/>
        </w:rPr>
      </w:pPr>
      <w:r>
        <w:rPr>
          <w:rFonts w:eastAsia="Gulim" w:cs="Calibri"/>
          <w:spacing w:val="-2"/>
          <w:sz w:val="24"/>
          <w:szCs w:val="24"/>
        </w:rPr>
        <w:t xml:space="preserve">Chemical pollution is present nowadays commonly in surface waters and in other environmental areas as well </w:t>
      </w:r>
      <w:r>
        <w:rPr>
          <w:rFonts w:eastAsia="Gulim" w:cs="Calibri"/>
          <w:spacing w:val="-2"/>
          <w:sz w:val="24"/>
          <w:szCs w:val="24"/>
        </w:rPr>
        <w:fldChar w:fldCharType="begin" w:fldLock="1"/>
      </w:r>
      <w:r w:rsidR="001D2989">
        <w:rPr>
          <w:rFonts w:eastAsia="Gulim" w:cs="Calibri"/>
          <w:spacing w:val="-2"/>
          <w:sz w:val="24"/>
          <w:szCs w:val="24"/>
        </w:rPr>
        <w:instrText>ADDIN CSL_CITATION {"citationItems":[{"id":"ITEM-1","itemData":{"DOI":"10.1080/15320383.2023.2192297","ISSN":"15497887","abstract":"This research presents the results on the spatial distribution and concentration of different chemical elements in the topsoil (0–5 cm) and the subsoil (20–30 cm), focusing on the identification of natural and anthropogenic sources of elements at 99 locations and 198 samples throughout the territory of the Republic of Kosovo. The samples were digested with acid mixture in Teflon vessels and the technique of inductively coupled plasma-atomic emission spectroscopy (ICP-AES) and mass spectrometry (ICP-MS) was applied for the analysis of 20 elements (Al, As, Ba, Ca, Cd, Co, Cr, Cu, Fe, K, Li, Mg, Mn, Na, Ni, P, Pb, Sr, V and Zn). The multivariate statistical method was employed for the statistical processing of the data using cluster and factor analysis. Four groups of elements were identified, three of which were with geogenic factors: (Co, Cr, Ni, Fe, Mg), (Ba, K, Na, V), (Al, Ca, Sr) and one with local enrichment tendencies (anthropogenic origin) (Pb, Zn). The data obtained show natural presence of the analyzed elements and low concentration of heavy metals in the entire territory of Kosovo, with the exception of some areas where higher levels of concentration are shown as a result of the influence of the anthropogenic factor.","author":[{"dropping-particle":"","family":"Kastrati","given":"Granit","non-dropping-particle":"","parse-names":false,"suffix":""},{"dropping-particle":"","family":"Vataj","given":"Ramë","non-dropping-particle":"","parse-names":false,"suffix":""},{"dropping-particle":"","family":"Sopaj","given":"Flamur","non-dropping-particle":"","parse-names":false,"suffix":""},{"dropping-particle":"","family":"Tašev","given":"Krste","non-dropping-particle":"","parse-names":false,"suffix":""},{"dropping-particle":"","family":"Stafilov","given":"Trajče","non-dropping-particle":"","parse-names":false,"suffix":""},{"dropping-particle":"","family":"Šajn","given":"Robert","non-dropping-particle":"","parse-names":false,"suffix":""},{"dropping-particle":"","family":"Paçarizi","given":"Musaj","non-dropping-particle":"","parse-names":false,"suffix":""}],"container-title":"Soil and Sediment Contamination","id":"ITEM-1","issue":"2","issued":{"date-parts":[["2024"]]},"page":"195-215","publisher":"Taylor &amp; Francis","title":"Distribution and Statistical Analysis of Chemical Elements in Soil from the Territory of the Republic of Kosovo","type":"article-journal","volume":"33"},"uris":["http://www.mendeley.com/documents/?uuid=4e84b78b-4a21-4bd1-8422-8b2b27537c4c"]},{"id":"ITEM-2","itemData":{"author":[{"dropping-particle":"","family":"Sopaj","given":"Flamur","non-dropping-particle":"","parse-names":false,"suffix":""}],"id":"ITEM-2","issued":{"date-parts":[["2013"]]},"title":"Study of the influence of electrode material in the application of electrochemical advanced oxidation processes to removal of pharmaceutical pollutants from water","type":"article-journal"},"uris":["http://www.mendeley.com/documents/?uuid=abe982d8-44ff-403e-8408-4bd50eda09d1"]},{"id":"ITEM-3","itemData":{"DOI":"10.1080/10934529.2022.2125738","ISSN":"1093-4529","PMID":"36134509","abstract":"\nThe objective of this study was the determination of major and trace elements in the bee pollen samples from the whole territory of Republic of Kosovo. Pollen, as a natural plant product, is exposed to different contaminations absorbed by plants from the soil through the root system or with water intake, as well as to pollutants of different origins, including anthropogenic ones, deposited directly on pollen. In total 67 pollen samples were collected in 2019. The samples were analyzed for 27 macro and microelements by using ICP-AES and ICP-MS. The mean content of major elements in bee pollen was 4065, 3455, 1375 and 549 mg/kg for K, P, Ca and Mg, respectively. The range of the contents for some potentially toxic elements was 11.9-139.1, 1.9-16, 0.11-6.25, 0.01-0.329 and 0.001-0.38 mg/kg for Zn, Cu, Pb, Cd and As, respectively. Three groups of elements of mixed origin were identified through factor analysis: the first and the third Factors, are mostly of geogenic origin (Ag, Li, Al, Fe, Ca, Sr, K, Mg and P and Co, Ni, Cr, Cu and Mn) and the second Factor association is related to anthropogenic processes (Sb, As, Pb, Tl, Sn and Cd).","author":[{"dropping-particle":"","family":"Kastrati","given":"Granit","non-dropping-particle":"","parse-names":false,"suffix":""},{"dropping-particle":"","family":"Paçarizi","given":"Musaj","non-dropping-particle":"","parse-names":false,"suffix":""},{"dropping-particle":"","family":"Sopaj","given":"Flamur","non-dropping-particle":"","parse-names":false,"suffix":""},{"dropping-particle":"","family":"Tašev","given":"Krste","non-dropping-particle":"","parse-names":false,"suffix":""},{"dropping-particle":"","family":"Stafilov","given":"Trajče","non-dropping-particle":"","parse-names":false,"suffix":""},{"dropping-particle":"","family":"Šajn","given":"Robert","non-dropping-particle":"","parse-names":false,"suffix":""},{"dropping-particle":"","family":"Millaku","given":"Fadil","non-dropping-particle":"","parse-names":false,"suffix":""}],"container-title":"Journal of Environmental Science and Health, Part A","id":"ITEM-3","issue":"0","issued":{"date-parts":[["2022"]]},"page":"1-11","publisher":"Taylor &amp; Francis","title":"Distribution and statistical analysis of major and trace elements in the bee pollen from the territory of Republic of Kosovo","type":"article-journal","volume":"0"},"uris":["http://www.mendeley.com/documents/?uuid=d76353a2-1724-4e7e-896f-de6c2890c52e"]}],"mendeley":{"formattedCitation":"[1–3]","plainTextFormattedCitation":"[1–3]","previouslyFormattedCitation":"[1–3]"},"properties":{"noteIndex":0},"schema":"https://github.com/citation-style-language/schema/raw/master/csl-citation.json"}</w:instrText>
      </w:r>
      <w:r>
        <w:rPr>
          <w:rFonts w:eastAsia="Gulim" w:cs="Calibri"/>
          <w:spacing w:val="-2"/>
          <w:sz w:val="24"/>
          <w:szCs w:val="24"/>
        </w:rPr>
        <w:fldChar w:fldCharType="separate"/>
      </w:r>
      <w:r w:rsidR="001D2989" w:rsidRPr="001D2989">
        <w:rPr>
          <w:rFonts w:eastAsia="Gulim" w:cs="Calibri"/>
          <w:noProof/>
          <w:spacing w:val="-2"/>
          <w:sz w:val="24"/>
          <w:szCs w:val="24"/>
        </w:rPr>
        <w:t>[1–3]</w:t>
      </w:r>
      <w:r>
        <w:rPr>
          <w:rFonts w:eastAsia="Gulim" w:cs="Calibri"/>
          <w:spacing w:val="-2"/>
          <w:sz w:val="24"/>
          <w:szCs w:val="24"/>
        </w:rPr>
        <w:fldChar w:fldCharType="end"/>
      </w:r>
      <w:r>
        <w:rPr>
          <w:rFonts w:eastAsia="Gulim" w:cs="Calibri"/>
          <w:spacing w:val="-2"/>
          <w:sz w:val="24"/>
          <w:szCs w:val="24"/>
        </w:rPr>
        <w:t xml:space="preserve">. Of particular importance are organic compounds, which are synthetized in large variety, whereby their harmful potential and unpredictability of their toxic properties towards various organisms. </w:t>
      </w:r>
      <w:r w:rsidR="00940ED2">
        <w:rPr>
          <w:rFonts w:eastAsia="Gulim" w:cs="Calibri"/>
          <w:spacing w:val="-2"/>
          <w:sz w:val="24"/>
          <w:szCs w:val="24"/>
        </w:rPr>
        <w:t xml:space="preserve">Dyes are considered among the main organic pollutants of waters. </w:t>
      </w:r>
      <w:r w:rsidR="00940ED2" w:rsidRPr="00940ED2">
        <w:rPr>
          <w:rFonts w:eastAsia="Gulim" w:cs="Calibri"/>
          <w:spacing w:val="-2"/>
          <w:sz w:val="24"/>
          <w:szCs w:val="24"/>
        </w:rPr>
        <w:t xml:space="preserve">The </w:t>
      </w:r>
      <w:r w:rsidR="00940ED2">
        <w:rPr>
          <w:rFonts w:eastAsia="Gulim" w:cs="Calibri"/>
          <w:spacing w:val="-2"/>
          <w:sz w:val="24"/>
          <w:szCs w:val="24"/>
        </w:rPr>
        <w:t>removal</w:t>
      </w:r>
      <w:r w:rsidR="00940ED2" w:rsidRPr="00940ED2">
        <w:rPr>
          <w:rFonts w:eastAsia="Gulim" w:cs="Calibri"/>
          <w:spacing w:val="-2"/>
          <w:sz w:val="24"/>
          <w:szCs w:val="24"/>
        </w:rPr>
        <w:t xml:space="preserve"> of Methyl Blue (MB) and Bromophenol blue (BPHB) </w:t>
      </w:r>
      <w:r w:rsidR="00940ED2">
        <w:rPr>
          <w:rFonts w:eastAsia="Gulim" w:cs="Calibri"/>
          <w:spacing w:val="-2"/>
          <w:sz w:val="24"/>
          <w:szCs w:val="24"/>
        </w:rPr>
        <w:t xml:space="preserve">from aqueous solution </w:t>
      </w:r>
      <w:r w:rsidR="00940ED2" w:rsidRPr="00940ED2">
        <w:rPr>
          <w:rFonts w:eastAsia="Gulim" w:cs="Calibri"/>
          <w:spacing w:val="-2"/>
          <w:sz w:val="24"/>
          <w:szCs w:val="24"/>
        </w:rPr>
        <w:t>by Fenton process</w:t>
      </w:r>
      <w:r w:rsidR="001D2989">
        <w:rPr>
          <w:rFonts w:eastAsia="Gulim" w:cs="Calibri"/>
          <w:spacing w:val="-2"/>
          <w:sz w:val="24"/>
          <w:szCs w:val="24"/>
        </w:rPr>
        <w:t xml:space="preserve"> </w:t>
      </w:r>
      <w:r w:rsidR="001D2989">
        <w:rPr>
          <w:rFonts w:eastAsia="Gulim" w:cs="Calibri"/>
          <w:spacing w:val="-2"/>
          <w:sz w:val="24"/>
          <w:szCs w:val="24"/>
        </w:rPr>
        <w:fldChar w:fldCharType="begin" w:fldLock="1"/>
      </w:r>
      <w:r w:rsidR="001D2989">
        <w:rPr>
          <w:rFonts w:eastAsia="Gulim" w:cs="Calibri"/>
          <w:spacing w:val="-2"/>
          <w:sz w:val="24"/>
          <w:szCs w:val="24"/>
        </w:rPr>
        <w:instrText>ADDIN CSL_CITATION {"citationItems":[{"id":"ITEM-1","itemData":{"DOI":"10.1016/j.jece.2020.104498","ISSN":"22133437","abstract":"The electrochemical oxidation of Naphthol Blue Black (NBB) solution by means of anodic oxidation with electro-generated H2O2 (AO-H2O2) and Electro-Fenton (EF) was studied, using boron doped diamond (BDD)/ carbon felt (CF) cell. The experiments were carried out in NaCl and Na2SO4 as supporting electrolytes with initial concentration of 0.1 mM of NBB. The studied parameters were pH, applied current, concentration of Fenton catalyst, concentration of supporting electrolytes, and Cl-/SO42- mixture. The degradation of NBB was almost total when NaCl was used compared to Na2SO4, thanks to the electro-generated active chlorine (HClO/ClO-). The higher degradation is found with EF compared to AO-H2O2 process, the kinetic of degradation of NBB always follows a pseudo first-order reaction. The optimum conditions for the mineralization of NBB (i.e., 0.1 mM NBB, 50 mM Na2SO4 at pH 3.0, 0.1 mM Fe2+, and a current of 300 mA) were determined. These conditions yielded a total color removal in less than 10 min and 98% of total organic carbon (TOC) removal at 120 min electrolysis time. The biochemical oxygen demand/ Chemical oxygen demand (BOD/COD) ratio was decreased from 0.5 to 0.3, during the same timescales. Whereas, the mineralization current efficiency (MCE%) dropped from 21.5% to 0.05% in the electrolysis time range from 15-120 min suggesting the concomitant parasitic reactions. The evolution of nitrite NO2-, nitrate NO3-, ammonium NH4+, and sulfate SO42- concentrations were also followed as the end-products during the electrolysis.","author":[{"dropping-particle":"","family":"Afanga","given":"Hanane","non-dropping-particle":"","parse-names":false,"suffix":""},{"dropping-particle":"","family":"Zazou","given":"Hicham","non-dropping-particle":"","parse-names":false,"suffix":""},{"dropping-particle":"","family":"Titchou","given":"Fatima Ezzahra","non-dropping-particle":"","parse-names":false,"suffix":""},{"dropping-particle":"El","family":"Gaayda","given":"Jamila","non-dropping-particle":"","parse-names":false,"suffix":""},{"dropping-particle":"","family":"Sopaj","given":"Flamur","non-dropping-particle":"","parse-names":false,"suffix":""},{"dropping-particle":"","family":"Akbour","given":"Rachid Ait","non-dropping-particle":"","parse-names":false,"suffix":""},{"dropping-particle":"","family":"Hamdani","given":"Mohamed","non-dropping-particle":"","parse-names":false,"suffix":""}],"container-title":"Journal of Environmental Chemical Engineering","id":"ITEM-1","issue":"1","issued":{"date-parts":[["2021"]]},"page":"104498","publisher":"Elsevier Ltd","title":"Electrochemical oxidation of Naphthol Blue Black with different supporting electrolytes using a BDD /carbon felt cell","type":"article-journal","volume":"9"},"uris":["http://www.mendeley.com/documents/?uuid=35416bee-8d78-4e50-9ddb-2f64af7543b4"]}],"mendeley":{"formattedCitation":"[4]","plainTextFormattedCitation":"[4]","previouslyFormattedCitation":"[4]"},"properties":{"noteIndex":0},"schema":"https://github.com/citation-style-language/schema/raw/master/csl-citation.json"}</w:instrText>
      </w:r>
      <w:r w:rsidR="001D2989">
        <w:rPr>
          <w:rFonts w:eastAsia="Gulim" w:cs="Calibri"/>
          <w:spacing w:val="-2"/>
          <w:sz w:val="24"/>
          <w:szCs w:val="24"/>
        </w:rPr>
        <w:fldChar w:fldCharType="separate"/>
      </w:r>
      <w:r w:rsidR="001D2989" w:rsidRPr="001D2989">
        <w:rPr>
          <w:rFonts w:eastAsia="Gulim" w:cs="Calibri"/>
          <w:noProof/>
          <w:spacing w:val="-2"/>
          <w:sz w:val="24"/>
          <w:szCs w:val="24"/>
        </w:rPr>
        <w:t>[4]</w:t>
      </w:r>
      <w:r w:rsidR="001D2989">
        <w:rPr>
          <w:rFonts w:eastAsia="Gulim" w:cs="Calibri"/>
          <w:spacing w:val="-2"/>
          <w:sz w:val="24"/>
          <w:szCs w:val="24"/>
        </w:rPr>
        <w:fldChar w:fldCharType="end"/>
      </w:r>
      <w:r w:rsidR="00940ED2" w:rsidRPr="00940ED2">
        <w:rPr>
          <w:rFonts w:eastAsia="Gulim" w:cs="Calibri"/>
          <w:spacing w:val="-2"/>
          <w:sz w:val="24"/>
          <w:szCs w:val="24"/>
        </w:rPr>
        <w:t xml:space="preserve"> was </w:t>
      </w:r>
      <w:r w:rsidR="00940ED2">
        <w:rPr>
          <w:rFonts w:eastAsia="Gulim" w:cs="Calibri"/>
          <w:spacing w:val="-2"/>
          <w:sz w:val="24"/>
          <w:szCs w:val="24"/>
        </w:rPr>
        <w:t>considered in this work</w:t>
      </w:r>
      <w:r w:rsidR="00940ED2" w:rsidRPr="00940ED2">
        <w:rPr>
          <w:rFonts w:eastAsia="Gulim" w:cs="Calibri"/>
          <w:spacing w:val="-2"/>
          <w:sz w:val="24"/>
          <w:szCs w:val="24"/>
        </w:rPr>
        <w:t>.</w:t>
      </w:r>
      <w:r w:rsidR="00940ED2">
        <w:rPr>
          <w:rFonts w:eastAsia="Gulim" w:cs="Calibri"/>
          <w:spacing w:val="-2"/>
          <w:sz w:val="24"/>
          <w:szCs w:val="24"/>
        </w:rPr>
        <w:t xml:space="preserve"> Removal efficiency was studied as well as the rate constants of the reactions were determined. </w:t>
      </w:r>
      <w:r w:rsidR="00940ED2" w:rsidRPr="00940ED2">
        <w:rPr>
          <w:rFonts w:eastAsia="Gulim" w:cs="Calibri"/>
          <w:spacing w:val="-2"/>
          <w:sz w:val="24"/>
          <w:szCs w:val="24"/>
        </w:rPr>
        <w:t>The degradation was performed in a 150 mL beaker under stirring conditions at pH 3. The kinetics of the compounds degradation was followed by UV-Vis spectrophotometry. It was found that both compounds can be effectively degraded, whereas MB is degraded more rapidly than BPHB. The pH reduced the efficiency of the degradation process, but even at pH 5.2 significant amounts of the both compounds could still be oxidized, due to the pH decrease during the process, probably effected by the carboxylic acids formed</w:t>
      </w:r>
      <w:r w:rsidR="00940ED2">
        <w:rPr>
          <w:rFonts w:eastAsia="Gulim" w:cs="Calibri"/>
          <w:spacing w:val="-2"/>
          <w:sz w:val="24"/>
          <w:szCs w:val="24"/>
        </w:rPr>
        <w:t xml:space="preserve"> during the degradation process</w:t>
      </w:r>
      <w:r w:rsidR="008F38D2" w:rsidRPr="008F38D2">
        <w:rPr>
          <w:rFonts w:eastAsia="Gulim" w:cs="Calibri"/>
          <w:spacing w:val="-2"/>
          <w:sz w:val="24"/>
          <w:szCs w:val="24"/>
        </w:rPr>
        <w:t xml:space="preserve">.  </w:t>
      </w:r>
    </w:p>
    <w:p w14:paraId="10C13DB1" w14:textId="77777777" w:rsidR="00F25A14" w:rsidRDefault="00F25A14" w:rsidP="008F38D2">
      <w:pPr>
        <w:spacing w:after="0" w:line="240" w:lineRule="auto"/>
        <w:jc w:val="both"/>
        <w:rPr>
          <w:rFonts w:eastAsia="Gulim" w:cs="Calibri"/>
          <w:spacing w:val="-2"/>
          <w:sz w:val="24"/>
          <w:szCs w:val="24"/>
        </w:rPr>
      </w:pPr>
    </w:p>
    <w:p w14:paraId="60687941" w14:textId="77777777" w:rsidR="008F38D2" w:rsidRDefault="008F38D2" w:rsidP="008F38D2">
      <w:pPr>
        <w:spacing w:after="0" w:line="240" w:lineRule="auto"/>
        <w:jc w:val="both"/>
        <w:rPr>
          <w:rFonts w:eastAsia="Gulim" w:cs="Calibri"/>
          <w:spacing w:val="-2"/>
          <w:sz w:val="24"/>
          <w:szCs w:val="24"/>
        </w:rPr>
      </w:pPr>
      <w:r w:rsidRPr="00F25A14">
        <w:rPr>
          <w:rFonts w:eastAsia="Gulim" w:cs="Calibri"/>
          <w:b/>
          <w:spacing w:val="-2"/>
          <w:sz w:val="24"/>
          <w:szCs w:val="24"/>
        </w:rPr>
        <w:t>Keywords</w:t>
      </w:r>
      <w:r w:rsidRPr="008F38D2">
        <w:rPr>
          <w:rFonts w:eastAsia="Gulim" w:cs="Calibri"/>
          <w:spacing w:val="-2"/>
          <w:sz w:val="24"/>
          <w:szCs w:val="24"/>
        </w:rPr>
        <w:t xml:space="preserve">: </w:t>
      </w:r>
      <w:r w:rsidR="00BB1CC4">
        <w:rPr>
          <w:rFonts w:eastAsia="Gulim" w:cs="Calibri"/>
          <w:spacing w:val="-2"/>
          <w:sz w:val="24"/>
          <w:szCs w:val="24"/>
        </w:rPr>
        <w:t>Pollution</w:t>
      </w:r>
      <w:r w:rsidRPr="008F38D2">
        <w:rPr>
          <w:rFonts w:eastAsia="Gulim" w:cs="Calibri"/>
          <w:spacing w:val="-2"/>
          <w:sz w:val="24"/>
          <w:szCs w:val="24"/>
        </w:rPr>
        <w:t xml:space="preserve">, </w:t>
      </w:r>
      <w:r w:rsidR="00BB1CC4">
        <w:rPr>
          <w:rFonts w:eastAsia="Gulim" w:cs="Calibri"/>
          <w:spacing w:val="-2"/>
          <w:sz w:val="24"/>
          <w:szCs w:val="24"/>
        </w:rPr>
        <w:t>Fenton</w:t>
      </w:r>
      <w:r w:rsidR="00B11F0F">
        <w:rPr>
          <w:rFonts w:eastAsia="Gulim" w:cs="Calibri"/>
          <w:spacing w:val="-2"/>
          <w:sz w:val="24"/>
          <w:szCs w:val="24"/>
        </w:rPr>
        <w:t xml:space="preserve">, </w:t>
      </w:r>
      <w:r w:rsidR="00BB1CC4">
        <w:rPr>
          <w:rFonts w:eastAsia="Gulim" w:cs="Calibri"/>
          <w:spacing w:val="-2"/>
          <w:sz w:val="24"/>
          <w:szCs w:val="24"/>
        </w:rPr>
        <w:t>dyes</w:t>
      </w:r>
      <w:r w:rsidRPr="008F38D2">
        <w:rPr>
          <w:rFonts w:eastAsia="Gulim" w:cs="Calibri"/>
          <w:spacing w:val="-2"/>
          <w:sz w:val="24"/>
          <w:szCs w:val="24"/>
        </w:rPr>
        <w:t xml:space="preserve">, </w:t>
      </w:r>
      <w:r w:rsidR="00BB1CC4">
        <w:rPr>
          <w:rFonts w:eastAsia="Gulim" w:cs="Calibri"/>
          <w:spacing w:val="-2"/>
          <w:sz w:val="24"/>
          <w:szCs w:val="24"/>
        </w:rPr>
        <w:t>removal, environment</w:t>
      </w:r>
      <w:r w:rsidRPr="008F38D2">
        <w:rPr>
          <w:rFonts w:eastAsia="Gulim" w:cs="Calibri"/>
          <w:spacing w:val="-2"/>
          <w:sz w:val="24"/>
          <w:szCs w:val="24"/>
        </w:rPr>
        <w:t>.</w:t>
      </w:r>
    </w:p>
    <w:p w14:paraId="2300972B" w14:textId="77777777" w:rsidR="008F38D2" w:rsidRPr="00164502" w:rsidRDefault="008F38D2" w:rsidP="008F38D2">
      <w:pPr>
        <w:spacing w:after="0" w:line="240" w:lineRule="auto"/>
        <w:jc w:val="both"/>
        <w:rPr>
          <w:rFonts w:eastAsia="Gulim" w:cs="Calibri"/>
          <w:sz w:val="24"/>
          <w:szCs w:val="24"/>
        </w:rPr>
      </w:pPr>
    </w:p>
    <w:p w14:paraId="68B41D51" w14:textId="77777777" w:rsidR="007956D8" w:rsidRDefault="007956D8" w:rsidP="00B83CA0">
      <w:pPr>
        <w:spacing w:after="0" w:line="240" w:lineRule="auto"/>
        <w:jc w:val="both"/>
        <w:rPr>
          <w:rFonts w:eastAsia="Gulim" w:cs="Calibri"/>
          <w:b/>
          <w:bCs/>
          <w:sz w:val="24"/>
          <w:szCs w:val="24"/>
        </w:rPr>
      </w:pPr>
      <w:r w:rsidRPr="00164502">
        <w:rPr>
          <w:rFonts w:eastAsia="Gulim" w:cs="Calibri"/>
          <w:b/>
          <w:bCs/>
          <w:sz w:val="24"/>
          <w:szCs w:val="24"/>
        </w:rPr>
        <w:t>References</w:t>
      </w:r>
    </w:p>
    <w:p w14:paraId="60D59E51" w14:textId="77777777" w:rsidR="004F0ADE" w:rsidRDefault="004F0ADE" w:rsidP="00B83CA0">
      <w:pPr>
        <w:spacing w:after="0" w:line="240" w:lineRule="auto"/>
        <w:jc w:val="both"/>
        <w:rPr>
          <w:rFonts w:eastAsia="Gulim" w:cs="Calibri"/>
          <w:b/>
          <w:bCs/>
          <w:sz w:val="24"/>
          <w:szCs w:val="24"/>
        </w:rPr>
      </w:pPr>
    </w:p>
    <w:p w14:paraId="7E2766DC" w14:textId="77777777" w:rsidR="001D2989" w:rsidRPr="001D2989" w:rsidRDefault="001D2989" w:rsidP="001D2989">
      <w:pPr>
        <w:widowControl w:val="0"/>
        <w:autoSpaceDE w:val="0"/>
        <w:autoSpaceDN w:val="0"/>
        <w:adjustRightInd w:val="0"/>
        <w:spacing w:after="0" w:line="240" w:lineRule="auto"/>
        <w:ind w:left="640" w:hanging="640"/>
        <w:rPr>
          <w:rFonts w:cs="Calibri"/>
          <w:noProof/>
          <w:szCs w:val="24"/>
        </w:rPr>
      </w:pPr>
      <w:r>
        <w:rPr>
          <w:rFonts w:eastAsia="Gulim" w:cs="Calibri"/>
          <w:b/>
          <w:bCs/>
        </w:rPr>
        <w:fldChar w:fldCharType="begin" w:fldLock="1"/>
      </w:r>
      <w:r>
        <w:rPr>
          <w:rFonts w:eastAsia="Gulim" w:cs="Calibri"/>
          <w:b/>
          <w:bCs/>
        </w:rPr>
        <w:instrText xml:space="preserve">ADDIN Mendeley Bibliography CSL_BIBLIOGRAPHY </w:instrText>
      </w:r>
      <w:r>
        <w:rPr>
          <w:rFonts w:eastAsia="Gulim" w:cs="Calibri"/>
          <w:b/>
          <w:bCs/>
        </w:rPr>
        <w:fldChar w:fldCharType="separate"/>
      </w:r>
      <w:r w:rsidRPr="001D2989">
        <w:rPr>
          <w:rFonts w:cs="Calibri"/>
          <w:noProof/>
          <w:szCs w:val="24"/>
        </w:rPr>
        <w:t>[1]</w:t>
      </w:r>
      <w:r w:rsidRPr="001D2989">
        <w:rPr>
          <w:rFonts w:cs="Calibri"/>
          <w:noProof/>
          <w:szCs w:val="24"/>
        </w:rPr>
        <w:tab/>
        <w:t>G. Kastrati, R. Vataj, F. Sopaj, K. Tašev, T. Stafilov, R. Šajn, M. Paçarizi, Soil Sediment Contam. 33 (2024) 195–215. https://doi.org/10.1080/15320383.2023.2192297.</w:t>
      </w:r>
    </w:p>
    <w:p w14:paraId="48A1F32B" w14:textId="77777777" w:rsidR="001D2989" w:rsidRPr="001D2989" w:rsidRDefault="001D2989" w:rsidP="001D2989">
      <w:pPr>
        <w:widowControl w:val="0"/>
        <w:autoSpaceDE w:val="0"/>
        <w:autoSpaceDN w:val="0"/>
        <w:adjustRightInd w:val="0"/>
        <w:spacing w:after="0" w:line="240" w:lineRule="auto"/>
        <w:ind w:left="640" w:hanging="640"/>
        <w:rPr>
          <w:rFonts w:cs="Calibri"/>
          <w:noProof/>
          <w:szCs w:val="24"/>
        </w:rPr>
      </w:pPr>
      <w:r w:rsidRPr="001D2989">
        <w:rPr>
          <w:rFonts w:cs="Calibri"/>
          <w:noProof/>
          <w:szCs w:val="24"/>
        </w:rPr>
        <w:t>[2]</w:t>
      </w:r>
      <w:r w:rsidRPr="001D2989">
        <w:rPr>
          <w:rFonts w:cs="Calibri"/>
          <w:noProof/>
          <w:szCs w:val="24"/>
        </w:rPr>
        <w:tab/>
        <w:t>F. Sopaj, Study of the influence of electrode material in the application of electrochemical advanced oxidation processes to removal of pharmaceutical pollutants from water, (2013).</w:t>
      </w:r>
    </w:p>
    <w:p w14:paraId="07FA8C2B" w14:textId="77777777" w:rsidR="001D2989" w:rsidRPr="008A7740" w:rsidRDefault="001D2989" w:rsidP="001D2989">
      <w:pPr>
        <w:widowControl w:val="0"/>
        <w:autoSpaceDE w:val="0"/>
        <w:autoSpaceDN w:val="0"/>
        <w:adjustRightInd w:val="0"/>
        <w:spacing w:after="0" w:line="240" w:lineRule="auto"/>
        <w:ind w:left="640" w:hanging="640"/>
        <w:rPr>
          <w:rFonts w:cs="Calibri"/>
          <w:noProof/>
          <w:szCs w:val="24"/>
          <w:lang w:val="fr-FR"/>
        </w:rPr>
      </w:pPr>
      <w:r w:rsidRPr="008A7740">
        <w:rPr>
          <w:rFonts w:cs="Calibri"/>
          <w:noProof/>
          <w:szCs w:val="24"/>
          <w:lang w:val="fr-FR"/>
        </w:rPr>
        <w:t>[3]</w:t>
      </w:r>
      <w:r w:rsidRPr="008A7740">
        <w:rPr>
          <w:rFonts w:cs="Calibri"/>
          <w:noProof/>
          <w:szCs w:val="24"/>
          <w:lang w:val="fr-FR"/>
        </w:rPr>
        <w:tab/>
        <w:t>G. Kastrati, M. Paçarizi, F. Sopaj, K. Tašev, T. Stafilov, R. Šajn, F. Millaku, J. Environ. Sci. Heal. Part A. 0 (2022) 1–11. https://doi.org/10.1080/10934529.2022.2125738.</w:t>
      </w:r>
    </w:p>
    <w:p w14:paraId="31E01567" w14:textId="77777777" w:rsidR="001D2989" w:rsidRPr="001D2989" w:rsidRDefault="001D2989" w:rsidP="001D2989">
      <w:pPr>
        <w:widowControl w:val="0"/>
        <w:autoSpaceDE w:val="0"/>
        <w:autoSpaceDN w:val="0"/>
        <w:adjustRightInd w:val="0"/>
        <w:spacing w:after="0" w:line="240" w:lineRule="auto"/>
        <w:ind w:left="640" w:hanging="640"/>
        <w:rPr>
          <w:rFonts w:cs="Calibri"/>
          <w:noProof/>
        </w:rPr>
      </w:pPr>
      <w:r w:rsidRPr="008A7740">
        <w:rPr>
          <w:rFonts w:cs="Calibri"/>
          <w:noProof/>
          <w:szCs w:val="24"/>
          <w:lang w:val="fr-FR"/>
        </w:rPr>
        <w:t>[4]</w:t>
      </w:r>
      <w:r w:rsidRPr="008A7740">
        <w:rPr>
          <w:rFonts w:cs="Calibri"/>
          <w:noProof/>
          <w:szCs w:val="24"/>
          <w:lang w:val="fr-FR"/>
        </w:rPr>
        <w:tab/>
        <w:t xml:space="preserve">H. Afanga, H. Zazou, F.E. Titchou, J. El Gaayda, F. Sopaj, R.A. Akbour, M. Hamdani, J. Environ. </w:t>
      </w:r>
      <w:r w:rsidRPr="001D2989">
        <w:rPr>
          <w:rFonts w:cs="Calibri"/>
          <w:noProof/>
          <w:szCs w:val="24"/>
        </w:rPr>
        <w:t>Chem. Eng. 9 (2021) 104498. https://doi.org/10.1016/j.jece.2020.104498.</w:t>
      </w:r>
    </w:p>
    <w:p w14:paraId="7CA1EAB4" w14:textId="77777777" w:rsidR="00630F96" w:rsidRPr="00F72382" w:rsidRDefault="001D2989" w:rsidP="00B83CA0">
      <w:pPr>
        <w:spacing w:after="0" w:line="240" w:lineRule="auto"/>
        <w:jc w:val="both"/>
        <w:rPr>
          <w:rFonts w:eastAsia="Gulim" w:cs="Calibri"/>
          <w:b/>
          <w:bCs/>
        </w:rPr>
      </w:pPr>
      <w:r>
        <w:rPr>
          <w:rFonts w:eastAsia="Gulim" w:cs="Calibri"/>
          <w:b/>
          <w:bCs/>
        </w:rPr>
        <w:fldChar w:fldCharType="end"/>
      </w:r>
    </w:p>
    <w:p w14:paraId="6AB5F6DF" w14:textId="77777777" w:rsidR="007956D8" w:rsidRDefault="00F72382" w:rsidP="00B83CA0">
      <w:pPr>
        <w:spacing w:after="0" w:line="240" w:lineRule="auto"/>
        <w:jc w:val="both"/>
        <w:rPr>
          <w:rFonts w:eastAsia="Gulim" w:cs="Calibri"/>
          <w:b/>
          <w:bCs/>
          <w:sz w:val="24"/>
          <w:szCs w:val="24"/>
        </w:rPr>
      </w:pPr>
      <w:r w:rsidRPr="00A21734">
        <w:rPr>
          <w:rFonts w:ascii="Times New Roman" w:hAnsi="Times New Roman"/>
          <w:noProof/>
          <w:lang w:val="en-US"/>
        </w:rPr>
        <w:drawing>
          <wp:anchor distT="0" distB="0" distL="114300" distR="114300" simplePos="0" relativeHeight="251659264" behindDoc="0" locked="0" layoutInCell="1" allowOverlap="1" wp14:anchorId="548BDD8B" wp14:editId="14BF099F">
            <wp:simplePos x="0" y="0"/>
            <wp:positionH relativeFrom="margin">
              <wp:posOffset>115570</wp:posOffset>
            </wp:positionH>
            <wp:positionV relativeFrom="paragraph">
              <wp:posOffset>317500</wp:posOffset>
            </wp:positionV>
            <wp:extent cx="2181225" cy="1560830"/>
            <wp:effectExtent l="0" t="0" r="9525" b="127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956D8" w:rsidRPr="00164502">
        <w:rPr>
          <w:rFonts w:eastAsia="Gulim" w:cs="Calibri"/>
          <w:b/>
          <w:bCs/>
          <w:sz w:val="24"/>
          <w:szCs w:val="24"/>
        </w:rPr>
        <w:t>Figures</w:t>
      </w:r>
    </w:p>
    <w:p w14:paraId="61CCB009" w14:textId="77777777" w:rsidR="004A218E" w:rsidRDefault="004A218E" w:rsidP="00B83CA0">
      <w:pPr>
        <w:spacing w:after="0" w:line="240" w:lineRule="auto"/>
        <w:rPr>
          <w:rFonts w:eastAsia="Gulim" w:cs="Calibri"/>
          <w:b/>
        </w:rPr>
      </w:pPr>
    </w:p>
    <w:p w14:paraId="048A401C" w14:textId="77777777" w:rsidR="00B422A4" w:rsidRDefault="006F529F" w:rsidP="00B83CA0">
      <w:pPr>
        <w:spacing w:after="0" w:line="240" w:lineRule="auto"/>
        <w:rPr>
          <w:rFonts w:eastAsia="Gulim" w:cs="Calibri"/>
        </w:rPr>
      </w:pPr>
      <w:r w:rsidRPr="00164502">
        <w:rPr>
          <w:rFonts w:eastAsia="Gulim" w:cs="Calibri"/>
          <w:b/>
        </w:rPr>
        <w:t>Figure 1:</w:t>
      </w:r>
      <w:r w:rsidR="00F72382" w:rsidRPr="00F72382">
        <w:rPr>
          <w:rFonts w:eastAsia="Gulim" w:cs="Calibri"/>
        </w:rPr>
        <w:t xml:space="preserve"> Degradation trails of MB</w:t>
      </w:r>
      <w:r w:rsidR="00934E30">
        <w:rPr>
          <w:rFonts w:eastAsia="Gulim" w:cs="Calibri"/>
        </w:rPr>
        <w:t xml:space="preserve"> at different concentrations of </w:t>
      </w:r>
      <w:r w:rsidR="00F72382" w:rsidRPr="00F72382">
        <w:rPr>
          <w:rFonts w:eastAsia="Gulim" w:cs="Calibri"/>
        </w:rPr>
        <w:t>[H</w:t>
      </w:r>
      <w:r w:rsidR="00F72382" w:rsidRPr="008A7740">
        <w:rPr>
          <w:rFonts w:eastAsia="Gulim" w:cs="Calibri"/>
          <w:vertAlign w:val="subscript"/>
        </w:rPr>
        <w:t>2</w:t>
      </w:r>
      <w:r w:rsidR="00F72382" w:rsidRPr="00F72382">
        <w:rPr>
          <w:rFonts w:eastAsia="Gulim" w:cs="Calibri"/>
        </w:rPr>
        <w:t>O</w:t>
      </w:r>
      <w:r w:rsidR="00F72382" w:rsidRPr="008A7740">
        <w:rPr>
          <w:rFonts w:eastAsia="Gulim" w:cs="Calibri"/>
          <w:vertAlign w:val="subscript"/>
        </w:rPr>
        <w:t>2</w:t>
      </w:r>
      <w:r w:rsidR="00F72382" w:rsidRPr="00F72382">
        <w:rPr>
          <w:rFonts w:eastAsia="Gulim" w:cs="Calibri"/>
        </w:rPr>
        <w:t>] = [Fe</w:t>
      </w:r>
      <w:r w:rsidR="00F72382" w:rsidRPr="00F72382">
        <w:rPr>
          <w:rFonts w:eastAsia="Gulim" w:cs="Calibri"/>
          <w:vertAlign w:val="superscript"/>
        </w:rPr>
        <w:t>2+</w:t>
      </w:r>
      <w:r w:rsidR="00F72382">
        <w:rPr>
          <w:rFonts w:eastAsia="Gulim" w:cs="Calibri"/>
        </w:rPr>
        <w:t>], [MB</w:t>
      </w:r>
      <w:r w:rsidR="00F72382" w:rsidRPr="00F72382">
        <w:rPr>
          <w:rFonts w:eastAsia="Gulim" w:cs="Calibri"/>
        </w:rPr>
        <w:t>]</w:t>
      </w:r>
      <w:r w:rsidR="00934E30">
        <w:rPr>
          <w:rFonts w:eastAsia="Gulim" w:cs="Calibri"/>
          <w:vertAlign w:val="subscript"/>
        </w:rPr>
        <w:t>0</w:t>
      </w:r>
      <w:r w:rsidR="00F72382" w:rsidRPr="00F72382">
        <w:rPr>
          <w:rFonts w:eastAsia="Gulim" w:cs="Calibri"/>
        </w:rPr>
        <w:t xml:space="preserve"> = 0.01 mM, V = 150 mL, pH </w:t>
      </w:r>
      <w:r w:rsidR="00424C06">
        <w:rPr>
          <w:rFonts w:eastAsia="Gulim" w:cs="Calibri"/>
        </w:rPr>
        <w:t xml:space="preserve">= </w:t>
      </w:r>
      <w:r w:rsidR="00F72382" w:rsidRPr="00F72382">
        <w:rPr>
          <w:rFonts w:eastAsia="Gulim" w:cs="Calibri"/>
        </w:rPr>
        <w:t>3.</w:t>
      </w:r>
    </w:p>
    <w:p w14:paraId="46CA28CB" w14:textId="77777777" w:rsidR="001D74CB" w:rsidRPr="00204E27" w:rsidRDefault="001D74CB" w:rsidP="00204E27">
      <w:pPr>
        <w:tabs>
          <w:tab w:val="left" w:pos="2505"/>
        </w:tabs>
        <w:rPr>
          <w:rFonts w:eastAsia="Gulim" w:cs="Calibri"/>
        </w:rPr>
      </w:pPr>
    </w:p>
    <w:sectPr w:rsidR="001D74CB" w:rsidRPr="00204E27" w:rsidSect="00F01E9A">
      <w:footerReference w:type="even" r:id="rId9"/>
      <w:footerReference w:type="default" r:id="rId10"/>
      <w:type w:val="continuous"/>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BF0C" w14:textId="77777777" w:rsidR="00B675B5" w:rsidRDefault="00B675B5" w:rsidP="003223FF">
      <w:pPr>
        <w:spacing w:after="0" w:line="240" w:lineRule="auto"/>
      </w:pPr>
      <w:r>
        <w:separator/>
      </w:r>
    </w:p>
  </w:endnote>
  <w:endnote w:type="continuationSeparator" w:id="0">
    <w:p w14:paraId="32A96E6A" w14:textId="77777777" w:rsidR="00B675B5" w:rsidRDefault="00B675B5" w:rsidP="003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EA455" w14:textId="77777777" w:rsidR="00D335C7" w:rsidRDefault="00585485"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06F5" w14:textId="77777777" w:rsidR="00D335C7" w:rsidRPr="00164502" w:rsidRDefault="00B83CA0"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w:t>
    </w:r>
    <w:r w:rsidR="007956D8" w:rsidRPr="00164502">
      <w:rPr>
        <w:rFonts w:cs="Calibri"/>
        <w:b/>
        <w:color w:val="000000"/>
        <w:sz w:val="30"/>
        <w:szCs w:val="30"/>
        <w:lang w:val="es-ES"/>
      </w:rPr>
      <w:t>202</w:t>
    </w:r>
    <w:r w:rsidR="00C601F3">
      <w:rPr>
        <w:rFonts w:cs="Calibri"/>
        <w:b/>
        <w:color w:val="000000"/>
        <w:sz w:val="30"/>
        <w:szCs w:val="30"/>
        <w:lang w:val="es-ES"/>
      </w:rPr>
      <w:t>4</w:t>
    </w:r>
    <w:r w:rsidR="0080018F"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7172E"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5217F" w:rsidRPr="00164502">
      <w:rPr>
        <w:rFonts w:cs="Calibri"/>
        <w:color w:val="000000"/>
        <w:sz w:val="26"/>
        <w:szCs w:val="26"/>
        <w:lang w:val="es-ES"/>
      </w:rPr>
      <w:t xml:space="preserve"> </w:t>
    </w:r>
    <w:r w:rsidR="006513CB" w:rsidRPr="00164502">
      <w:rPr>
        <w:rFonts w:cs="Calibri"/>
        <w:color w:val="000000"/>
        <w:sz w:val="26"/>
        <w:szCs w:val="26"/>
        <w:lang w:val="es-ES"/>
      </w:rPr>
      <w:t xml:space="preserve">   </w:t>
    </w:r>
    <w:r w:rsidR="006513CB" w:rsidRPr="00164502">
      <w:rPr>
        <w:rFonts w:cs="Calibri"/>
        <w:color w:val="000000"/>
        <w:sz w:val="24"/>
        <w:szCs w:val="24"/>
        <w:lang w:val="es-ES"/>
      </w:rPr>
      <w:t xml:space="preserve"> </w:t>
    </w:r>
    <w:r w:rsidR="001157D6">
      <w:rPr>
        <w:rFonts w:cs="Calibri"/>
        <w:color w:val="000000"/>
        <w:sz w:val="24"/>
        <w:szCs w:val="24"/>
        <w:lang w:val="es-ES"/>
      </w:rPr>
      <w:t xml:space="preserve">   </w:t>
    </w:r>
    <w:r w:rsidR="00C601F3">
      <w:rPr>
        <w:rFonts w:cs="Calibri"/>
        <w:color w:val="000000"/>
        <w:sz w:val="24"/>
        <w:szCs w:val="24"/>
        <w:lang w:val="es-ES"/>
      </w:rPr>
      <w:tab/>
      <w:t xml:space="preserve">                </w:t>
    </w:r>
    <w:r w:rsidR="00C601F3">
      <w:rPr>
        <w:rFonts w:cs="Calibri"/>
        <w:color w:val="000000"/>
        <w:sz w:val="24"/>
        <w:szCs w:val="24"/>
        <w:lang w:val="es-ES"/>
      </w:rPr>
      <w:tab/>
    </w:r>
    <w:r w:rsidR="00C601F3">
      <w:rPr>
        <w:rFonts w:cs="Calibri"/>
        <w:color w:val="000000"/>
        <w:sz w:val="24"/>
        <w:szCs w:val="24"/>
        <w:lang w:val="es-ES"/>
      </w:rPr>
      <w:tab/>
    </w:r>
    <w:r w:rsidRPr="00164502">
      <w:rPr>
        <w:rFonts w:cs="Calibri"/>
        <w:color w:val="000000"/>
        <w:sz w:val="26"/>
        <w:szCs w:val="26"/>
        <w:lang w:val="es-ES"/>
      </w:rPr>
      <w:t>Tirana</w:t>
    </w:r>
    <w:r w:rsidR="00667F4D" w:rsidRPr="00164502">
      <w:rPr>
        <w:rFonts w:cs="Calibri"/>
        <w:color w:val="000000"/>
        <w:sz w:val="26"/>
        <w:szCs w:val="26"/>
        <w:lang w:val="es-ES"/>
      </w:rPr>
      <w:t xml:space="preserve"> </w:t>
    </w:r>
    <w:r w:rsidR="0080018F" w:rsidRPr="00164502">
      <w:rPr>
        <w:rFonts w:cs="Calibri"/>
        <w:color w:val="000000"/>
        <w:sz w:val="26"/>
        <w:szCs w:val="26"/>
        <w:lang w:val="es-ES"/>
      </w:rPr>
      <w:t>(</w:t>
    </w:r>
    <w:r w:rsidRPr="00164502">
      <w:rPr>
        <w:rFonts w:cs="Calibri"/>
        <w:color w:val="000000"/>
        <w:sz w:val="26"/>
        <w:szCs w:val="26"/>
        <w:lang w:val="es-ES"/>
      </w:rPr>
      <w:t>Albania</w:t>
    </w:r>
    <w:r w:rsidR="00667F4D" w:rsidRPr="00164502">
      <w:rPr>
        <w:rFonts w:cs="Calibri"/>
        <w:color w:val="000000"/>
        <w:sz w:val="26"/>
        <w:szCs w:val="2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4DAD" w14:textId="77777777" w:rsidR="00B675B5" w:rsidRDefault="00B675B5" w:rsidP="003223FF">
      <w:pPr>
        <w:spacing w:after="0" w:line="240" w:lineRule="auto"/>
      </w:pPr>
      <w:r>
        <w:separator/>
      </w:r>
    </w:p>
  </w:footnote>
  <w:footnote w:type="continuationSeparator" w:id="0">
    <w:p w14:paraId="5EDC1A7C" w14:textId="77777777" w:rsidR="00B675B5" w:rsidRDefault="00B675B5" w:rsidP="0032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4B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2F8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1440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C26D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C272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D24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9508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763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816B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660F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1032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C0AF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67F0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E72A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A375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241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7A6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4718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C400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D4DD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770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D24E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40E7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C1A"/>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631C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93E3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F2F98"/>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D4F1E"/>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570C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E2FCA"/>
    <w:multiLevelType w:val="hybridMultilevel"/>
    <w:tmpl w:val="34C25C24"/>
    <w:lvl w:ilvl="0" w:tplc="DEAE4AB8">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77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569C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453404">
    <w:abstractNumId w:val="7"/>
  </w:num>
  <w:num w:numId="2" w16cid:durableId="802965970">
    <w:abstractNumId w:val="26"/>
  </w:num>
  <w:num w:numId="3" w16cid:durableId="709500441">
    <w:abstractNumId w:val="13"/>
  </w:num>
  <w:num w:numId="4" w16cid:durableId="247033751">
    <w:abstractNumId w:val="27"/>
  </w:num>
  <w:num w:numId="5" w16cid:durableId="679550593">
    <w:abstractNumId w:val="18"/>
  </w:num>
  <w:num w:numId="6" w16cid:durableId="1678272005">
    <w:abstractNumId w:val="8"/>
  </w:num>
  <w:num w:numId="7" w16cid:durableId="1215578678">
    <w:abstractNumId w:val="23"/>
  </w:num>
  <w:num w:numId="8" w16cid:durableId="1506362662">
    <w:abstractNumId w:val="1"/>
  </w:num>
  <w:num w:numId="9" w16cid:durableId="1135299618">
    <w:abstractNumId w:val="22"/>
  </w:num>
  <w:num w:numId="10" w16cid:durableId="159276405">
    <w:abstractNumId w:val="11"/>
  </w:num>
  <w:num w:numId="11" w16cid:durableId="1292637318">
    <w:abstractNumId w:val="32"/>
  </w:num>
  <w:num w:numId="12" w16cid:durableId="2133817330">
    <w:abstractNumId w:val="30"/>
  </w:num>
  <w:num w:numId="13" w16cid:durableId="1127430172">
    <w:abstractNumId w:val="12"/>
  </w:num>
  <w:num w:numId="14" w16cid:durableId="929969351">
    <w:abstractNumId w:val="3"/>
  </w:num>
  <w:num w:numId="15" w16cid:durableId="324088851">
    <w:abstractNumId w:val="5"/>
  </w:num>
  <w:num w:numId="16" w16cid:durableId="687100924">
    <w:abstractNumId w:val="15"/>
  </w:num>
  <w:num w:numId="17" w16cid:durableId="969628247">
    <w:abstractNumId w:val="20"/>
  </w:num>
  <w:num w:numId="18" w16cid:durableId="1466511201">
    <w:abstractNumId w:val="16"/>
  </w:num>
  <w:num w:numId="19" w16cid:durableId="777720453">
    <w:abstractNumId w:val="24"/>
  </w:num>
  <w:num w:numId="20" w16cid:durableId="342825925">
    <w:abstractNumId w:val="9"/>
  </w:num>
  <w:num w:numId="21" w16cid:durableId="1296445318">
    <w:abstractNumId w:val="25"/>
  </w:num>
  <w:num w:numId="22" w16cid:durableId="1624387617">
    <w:abstractNumId w:val="17"/>
  </w:num>
  <w:num w:numId="23" w16cid:durableId="269777879">
    <w:abstractNumId w:val="31"/>
  </w:num>
  <w:num w:numId="24" w16cid:durableId="907963071">
    <w:abstractNumId w:val="19"/>
  </w:num>
  <w:num w:numId="25" w16cid:durableId="1503276460">
    <w:abstractNumId w:val="4"/>
  </w:num>
  <w:num w:numId="26" w16cid:durableId="1809515699">
    <w:abstractNumId w:val="0"/>
  </w:num>
  <w:num w:numId="27" w16cid:durableId="1190799099">
    <w:abstractNumId w:val="29"/>
  </w:num>
  <w:num w:numId="28" w16cid:durableId="1556237673">
    <w:abstractNumId w:val="6"/>
  </w:num>
  <w:num w:numId="29" w16cid:durableId="630591979">
    <w:abstractNumId w:val="14"/>
  </w:num>
  <w:num w:numId="30" w16cid:durableId="443842385">
    <w:abstractNumId w:val="10"/>
  </w:num>
  <w:num w:numId="31" w16cid:durableId="967974897">
    <w:abstractNumId w:val="28"/>
  </w:num>
  <w:num w:numId="32" w16cid:durableId="437021596">
    <w:abstractNumId w:val="2"/>
  </w:num>
  <w:num w:numId="33" w16cid:durableId="1379476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A4"/>
    <w:rsid w:val="00022BDE"/>
    <w:rsid w:val="00026408"/>
    <w:rsid w:val="0005217F"/>
    <w:rsid w:val="000557C5"/>
    <w:rsid w:val="000621A4"/>
    <w:rsid w:val="0007053A"/>
    <w:rsid w:val="0007172E"/>
    <w:rsid w:val="00075C9A"/>
    <w:rsid w:val="000812B4"/>
    <w:rsid w:val="00081CAA"/>
    <w:rsid w:val="000B7A50"/>
    <w:rsid w:val="000E1A1D"/>
    <w:rsid w:val="000F7C58"/>
    <w:rsid w:val="001157D6"/>
    <w:rsid w:val="00124A4F"/>
    <w:rsid w:val="00137D12"/>
    <w:rsid w:val="00144AFA"/>
    <w:rsid w:val="001464F7"/>
    <w:rsid w:val="0015628F"/>
    <w:rsid w:val="00161E65"/>
    <w:rsid w:val="00164502"/>
    <w:rsid w:val="001B0DE5"/>
    <w:rsid w:val="001B237B"/>
    <w:rsid w:val="001C7966"/>
    <w:rsid w:val="001D2989"/>
    <w:rsid w:val="001D2B40"/>
    <w:rsid w:val="001D74CB"/>
    <w:rsid w:val="001F41EA"/>
    <w:rsid w:val="001F6D66"/>
    <w:rsid w:val="002003BC"/>
    <w:rsid w:val="00204E27"/>
    <w:rsid w:val="00215BE5"/>
    <w:rsid w:val="00216B6F"/>
    <w:rsid w:val="002205F6"/>
    <w:rsid w:val="00220BA5"/>
    <w:rsid w:val="00223745"/>
    <w:rsid w:val="0022671B"/>
    <w:rsid w:val="00235652"/>
    <w:rsid w:val="00241756"/>
    <w:rsid w:val="002464AE"/>
    <w:rsid w:val="00252481"/>
    <w:rsid w:val="00264EF0"/>
    <w:rsid w:val="00294095"/>
    <w:rsid w:val="002A7F8F"/>
    <w:rsid w:val="002B0F54"/>
    <w:rsid w:val="002E1568"/>
    <w:rsid w:val="00303D4A"/>
    <w:rsid w:val="003223FF"/>
    <w:rsid w:val="00325502"/>
    <w:rsid w:val="00342952"/>
    <w:rsid w:val="0034590A"/>
    <w:rsid w:val="003718A4"/>
    <w:rsid w:val="003752C2"/>
    <w:rsid w:val="0039576D"/>
    <w:rsid w:val="003A3B36"/>
    <w:rsid w:val="003A6B6D"/>
    <w:rsid w:val="003D027A"/>
    <w:rsid w:val="003D5813"/>
    <w:rsid w:val="003D68A2"/>
    <w:rsid w:val="003D6ECB"/>
    <w:rsid w:val="003E16ED"/>
    <w:rsid w:val="003F23EB"/>
    <w:rsid w:val="003F65A1"/>
    <w:rsid w:val="00405607"/>
    <w:rsid w:val="00415D8B"/>
    <w:rsid w:val="00424C06"/>
    <w:rsid w:val="00444CCB"/>
    <w:rsid w:val="00467520"/>
    <w:rsid w:val="004726B5"/>
    <w:rsid w:val="00487276"/>
    <w:rsid w:val="00494F49"/>
    <w:rsid w:val="004A218E"/>
    <w:rsid w:val="004B239F"/>
    <w:rsid w:val="004D08FF"/>
    <w:rsid w:val="004E67BB"/>
    <w:rsid w:val="004F0ADE"/>
    <w:rsid w:val="00512C7F"/>
    <w:rsid w:val="0052063E"/>
    <w:rsid w:val="00523CFE"/>
    <w:rsid w:val="00532D42"/>
    <w:rsid w:val="005649F8"/>
    <w:rsid w:val="00585485"/>
    <w:rsid w:val="005A1E55"/>
    <w:rsid w:val="005C2276"/>
    <w:rsid w:val="005C2A5B"/>
    <w:rsid w:val="006045E1"/>
    <w:rsid w:val="00630F96"/>
    <w:rsid w:val="00633DCA"/>
    <w:rsid w:val="00634CB2"/>
    <w:rsid w:val="0063623B"/>
    <w:rsid w:val="00644D17"/>
    <w:rsid w:val="00645FA5"/>
    <w:rsid w:val="006513CB"/>
    <w:rsid w:val="0066606F"/>
    <w:rsid w:val="00667F4D"/>
    <w:rsid w:val="00671998"/>
    <w:rsid w:val="00672A11"/>
    <w:rsid w:val="00690C61"/>
    <w:rsid w:val="006A0AC7"/>
    <w:rsid w:val="006A5C6A"/>
    <w:rsid w:val="006B250A"/>
    <w:rsid w:val="006E0DBB"/>
    <w:rsid w:val="006E452F"/>
    <w:rsid w:val="006F529F"/>
    <w:rsid w:val="00701A08"/>
    <w:rsid w:val="0070509D"/>
    <w:rsid w:val="00707206"/>
    <w:rsid w:val="00712B56"/>
    <w:rsid w:val="00714E76"/>
    <w:rsid w:val="007247F9"/>
    <w:rsid w:val="00735211"/>
    <w:rsid w:val="00737C15"/>
    <w:rsid w:val="00752E89"/>
    <w:rsid w:val="00770E4C"/>
    <w:rsid w:val="007956D8"/>
    <w:rsid w:val="007A1B21"/>
    <w:rsid w:val="007C14DA"/>
    <w:rsid w:val="007D3A9C"/>
    <w:rsid w:val="007E036F"/>
    <w:rsid w:val="0080018F"/>
    <w:rsid w:val="008042B3"/>
    <w:rsid w:val="00836457"/>
    <w:rsid w:val="008776AE"/>
    <w:rsid w:val="00881923"/>
    <w:rsid w:val="008840AF"/>
    <w:rsid w:val="00896316"/>
    <w:rsid w:val="008A4501"/>
    <w:rsid w:val="008A7740"/>
    <w:rsid w:val="008D292E"/>
    <w:rsid w:val="008D6644"/>
    <w:rsid w:val="008F38D2"/>
    <w:rsid w:val="008F4C70"/>
    <w:rsid w:val="008F5BEC"/>
    <w:rsid w:val="008F65EC"/>
    <w:rsid w:val="008F67DF"/>
    <w:rsid w:val="00903AAB"/>
    <w:rsid w:val="0091510A"/>
    <w:rsid w:val="00923845"/>
    <w:rsid w:val="0093419E"/>
    <w:rsid w:val="00934E30"/>
    <w:rsid w:val="0093576B"/>
    <w:rsid w:val="0093776F"/>
    <w:rsid w:val="00940ED2"/>
    <w:rsid w:val="00947AFE"/>
    <w:rsid w:val="00957AAF"/>
    <w:rsid w:val="009656EE"/>
    <w:rsid w:val="00967B21"/>
    <w:rsid w:val="0098794A"/>
    <w:rsid w:val="009B28B6"/>
    <w:rsid w:val="009D5C21"/>
    <w:rsid w:val="009F4625"/>
    <w:rsid w:val="009F4AA0"/>
    <w:rsid w:val="00A30F0B"/>
    <w:rsid w:val="00A353B3"/>
    <w:rsid w:val="00A37BE3"/>
    <w:rsid w:val="00A72C1A"/>
    <w:rsid w:val="00A7477F"/>
    <w:rsid w:val="00A912FF"/>
    <w:rsid w:val="00AC1534"/>
    <w:rsid w:val="00AC64C2"/>
    <w:rsid w:val="00AD3100"/>
    <w:rsid w:val="00B10C1B"/>
    <w:rsid w:val="00B11F0F"/>
    <w:rsid w:val="00B33A75"/>
    <w:rsid w:val="00B422A4"/>
    <w:rsid w:val="00B63526"/>
    <w:rsid w:val="00B675B5"/>
    <w:rsid w:val="00B80E75"/>
    <w:rsid w:val="00B828E3"/>
    <w:rsid w:val="00B83CA0"/>
    <w:rsid w:val="00B94949"/>
    <w:rsid w:val="00BA04AB"/>
    <w:rsid w:val="00BA0E7D"/>
    <w:rsid w:val="00BA6D27"/>
    <w:rsid w:val="00BB1CC4"/>
    <w:rsid w:val="00BB7CC8"/>
    <w:rsid w:val="00BC4F75"/>
    <w:rsid w:val="00BF27A2"/>
    <w:rsid w:val="00BF65D9"/>
    <w:rsid w:val="00BF72D3"/>
    <w:rsid w:val="00C00A55"/>
    <w:rsid w:val="00C05980"/>
    <w:rsid w:val="00C51AE7"/>
    <w:rsid w:val="00C601F3"/>
    <w:rsid w:val="00C62D70"/>
    <w:rsid w:val="00C832A7"/>
    <w:rsid w:val="00C84283"/>
    <w:rsid w:val="00CA4E6A"/>
    <w:rsid w:val="00CC1080"/>
    <w:rsid w:val="00CE2F18"/>
    <w:rsid w:val="00D103C1"/>
    <w:rsid w:val="00D13751"/>
    <w:rsid w:val="00D1640A"/>
    <w:rsid w:val="00D335C7"/>
    <w:rsid w:val="00D52FA4"/>
    <w:rsid w:val="00D57EDC"/>
    <w:rsid w:val="00D64EDA"/>
    <w:rsid w:val="00D706CB"/>
    <w:rsid w:val="00D74DB3"/>
    <w:rsid w:val="00D95CCF"/>
    <w:rsid w:val="00D96815"/>
    <w:rsid w:val="00D96AE6"/>
    <w:rsid w:val="00D976AB"/>
    <w:rsid w:val="00DA26B0"/>
    <w:rsid w:val="00E002D9"/>
    <w:rsid w:val="00E3331A"/>
    <w:rsid w:val="00E35459"/>
    <w:rsid w:val="00E401E9"/>
    <w:rsid w:val="00E63404"/>
    <w:rsid w:val="00E82448"/>
    <w:rsid w:val="00E9079E"/>
    <w:rsid w:val="00EA4A52"/>
    <w:rsid w:val="00EB3980"/>
    <w:rsid w:val="00EC0BC9"/>
    <w:rsid w:val="00EC785F"/>
    <w:rsid w:val="00ED611C"/>
    <w:rsid w:val="00EF135A"/>
    <w:rsid w:val="00F01E9A"/>
    <w:rsid w:val="00F04736"/>
    <w:rsid w:val="00F12FC1"/>
    <w:rsid w:val="00F25A14"/>
    <w:rsid w:val="00F339B4"/>
    <w:rsid w:val="00F67379"/>
    <w:rsid w:val="00F72382"/>
    <w:rsid w:val="00F73D83"/>
    <w:rsid w:val="00F83EDD"/>
    <w:rsid w:val="00FA51E6"/>
    <w:rsid w:val="00FE788C"/>
    <w:rsid w:val="00FF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14AC"/>
  <w15:chartTrackingRefBased/>
  <w15:docId w15:val="{C34E6746-397A-4665-8DB0-C13F0F4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2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29F"/>
    <w:rPr>
      <w:rFonts w:ascii="Tahoma" w:hAnsi="Tahoma" w:cs="Tahoma"/>
      <w:sz w:val="16"/>
      <w:szCs w:val="16"/>
    </w:rPr>
  </w:style>
  <w:style w:type="paragraph" w:styleId="ListParagraph">
    <w:name w:val="List Paragraph"/>
    <w:basedOn w:val="Normal"/>
    <w:uiPriority w:val="34"/>
    <w:qFormat/>
    <w:rsid w:val="00A7477F"/>
    <w:pPr>
      <w:ind w:left="720"/>
      <w:contextualSpacing/>
    </w:pPr>
  </w:style>
  <w:style w:type="paragraph" w:styleId="Header">
    <w:name w:val="header"/>
    <w:basedOn w:val="Normal"/>
    <w:link w:val="HeaderChar"/>
    <w:uiPriority w:val="99"/>
    <w:unhideWhenUsed/>
    <w:rsid w:val="003223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23FF"/>
  </w:style>
  <w:style w:type="paragraph" w:styleId="Footer">
    <w:name w:val="footer"/>
    <w:basedOn w:val="Normal"/>
    <w:link w:val="FooterChar"/>
    <w:uiPriority w:val="99"/>
    <w:unhideWhenUsed/>
    <w:rsid w:val="003223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23FF"/>
  </w:style>
  <w:style w:type="paragraph" w:customStyle="1" w:styleId="2909F619802848F09E01365C32F34654">
    <w:name w:val="2909F619802848F09E01365C32F34654"/>
    <w:rsid w:val="003223FF"/>
    <w:pPr>
      <w:spacing w:after="200" w:line="276" w:lineRule="auto"/>
    </w:pPr>
    <w:rPr>
      <w:rFonts w:eastAsia="Times New Roman"/>
      <w:sz w:val="22"/>
      <w:szCs w:val="22"/>
      <w:lang w:val="en-GB" w:eastAsia="en-GB"/>
    </w:rPr>
  </w:style>
  <w:style w:type="table" w:styleId="TableGrid">
    <w:name w:val="Table Grid"/>
    <w:basedOn w:val="TableNormal"/>
    <w:uiPriority w:val="59"/>
    <w:rsid w:val="00BA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6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075C9A"/>
    <w:pPr>
      <w:spacing w:beforeLines="1" w:afterLines="1" w:after="0" w:line="240" w:lineRule="auto"/>
    </w:pPr>
    <w:rPr>
      <w:rFonts w:ascii="Times" w:eastAsia="Times New Roman" w:hAnsi="Times"/>
      <w:sz w:val="20"/>
      <w:szCs w:val="20"/>
      <w:lang w:val="en-US" w:eastAsia="fr-FR"/>
    </w:rPr>
  </w:style>
  <w:style w:type="paragraph" w:customStyle="1" w:styleId="textonormal">
    <w:name w:val="textonormal"/>
    <w:basedOn w:val="Normal"/>
    <w:rsid w:val="005649F8"/>
    <w:pPr>
      <w:spacing w:before="100" w:beforeAutospacing="1" w:after="100" w:afterAutospacing="1" w:line="240" w:lineRule="auto"/>
    </w:pPr>
    <w:rPr>
      <w:rFonts w:ascii="Verdana" w:eastAsia="Times New Roman" w:hAnsi="Verdana"/>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02012630517255"/>
          <c:y val="5.9213438320209977E-2"/>
          <c:w val="0.46023633508693507"/>
          <c:h val="0.70673423755309672"/>
        </c:manualLayout>
      </c:layout>
      <c:scatterChart>
        <c:scatterStyle val="smoothMarker"/>
        <c:varyColors val="0"/>
        <c:ser>
          <c:idx val="0"/>
          <c:order val="0"/>
          <c:tx>
            <c:v>0.01 mM</c:v>
          </c:tx>
          <c:spPr>
            <a:ln w="12700">
              <a:solidFill>
                <a:srgbClr val="92D050"/>
              </a:solidFill>
            </a:ln>
          </c:spPr>
          <c:marker>
            <c:symbol val="dot"/>
            <c:size val="5"/>
            <c:spPr>
              <a:ln>
                <a:solidFill>
                  <a:srgbClr val="92D050"/>
                </a:solidFill>
              </a:ln>
            </c:spPr>
          </c:marker>
          <c:xVal>
            <c:numRef>
              <c:f>'150ml'!$A$2:$A$10</c:f>
              <c:numCache>
                <c:formatCode>General</c:formatCode>
                <c:ptCount val="9"/>
                <c:pt idx="0">
                  <c:v>0</c:v>
                </c:pt>
                <c:pt idx="1">
                  <c:v>1</c:v>
                </c:pt>
                <c:pt idx="2">
                  <c:v>3</c:v>
                </c:pt>
                <c:pt idx="3">
                  <c:v>6</c:v>
                </c:pt>
                <c:pt idx="4">
                  <c:v>10</c:v>
                </c:pt>
                <c:pt idx="5">
                  <c:v>15</c:v>
                </c:pt>
                <c:pt idx="6">
                  <c:v>20</c:v>
                </c:pt>
                <c:pt idx="7">
                  <c:v>30</c:v>
                </c:pt>
                <c:pt idx="8">
                  <c:v>40</c:v>
                </c:pt>
              </c:numCache>
            </c:numRef>
          </c:xVal>
          <c:yVal>
            <c:numRef>
              <c:f>'150ml'!$D$2:$D$10</c:f>
              <c:numCache>
                <c:formatCode>General</c:formatCode>
                <c:ptCount val="9"/>
                <c:pt idx="0">
                  <c:v>0.99999317196408466</c:v>
                </c:pt>
                <c:pt idx="1">
                  <c:v>0.9714219384793964</c:v>
                </c:pt>
                <c:pt idx="2">
                  <c:v>0.93392219453074332</c:v>
                </c:pt>
                <c:pt idx="3">
                  <c:v>0.88035113174695301</c:v>
                </c:pt>
                <c:pt idx="4">
                  <c:v>0.84820849407667875</c:v>
                </c:pt>
                <c:pt idx="5">
                  <c:v>0.79303029940937486</c:v>
                </c:pt>
                <c:pt idx="6">
                  <c:v>0.77499470827216543</c:v>
                </c:pt>
                <c:pt idx="7">
                  <c:v>0.74642347478747739</c:v>
                </c:pt>
                <c:pt idx="8">
                  <c:v>0.72142364548837523</c:v>
                </c:pt>
              </c:numCache>
            </c:numRef>
          </c:yVal>
          <c:smooth val="1"/>
          <c:extLst>
            <c:ext xmlns:c16="http://schemas.microsoft.com/office/drawing/2014/chart" uri="{C3380CC4-5D6E-409C-BE32-E72D297353CC}">
              <c16:uniqueId val="{00000000-A17A-4374-A364-5E95A2B32349}"/>
            </c:ext>
          </c:extLst>
        </c:ser>
        <c:ser>
          <c:idx val="1"/>
          <c:order val="1"/>
          <c:tx>
            <c:v>0.03 mM</c:v>
          </c:tx>
          <c:spPr>
            <a:ln w="12700">
              <a:solidFill>
                <a:schemeClr val="accent3">
                  <a:lumMod val="50000"/>
                </a:schemeClr>
              </a:solidFill>
            </a:ln>
          </c:spPr>
          <c:marker>
            <c:symbol val="star"/>
            <c:size val="5"/>
            <c:spPr>
              <a:ln>
                <a:solidFill>
                  <a:schemeClr val="accent3">
                    <a:lumMod val="50000"/>
                  </a:schemeClr>
                </a:solidFill>
              </a:ln>
            </c:spPr>
          </c:marker>
          <c:xVal>
            <c:numRef>
              <c:f>'150ml'!$F$2:$F$10</c:f>
              <c:numCache>
                <c:formatCode>General</c:formatCode>
                <c:ptCount val="9"/>
                <c:pt idx="0">
                  <c:v>0</c:v>
                </c:pt>
                <c:pt idx="1">
                  <c:v>1</c:v>
                </c:pt>
                <c:pt idx="2">
                  <c:v>3</c:v>
                </c:pt>
                <c:pt idx="3">
                  <c:v>6</c:v>
                </c:pt>
                <c:pt idx="4">
                  <c:v>10</c:v>
                </c:pt>
                <c:pt idx="5">
                  <c:v>15</c:v>
                </c:pt>
                <c:pt idx="6">
                  <c:v>20</c:v>
                </c:pt>
                <c:pt idx="7">
                  <c:v>30</c:v>
                </c:pt>
                <c:pt idx="8">
                  <c:v>40</c:v>
                </c:pt>
              </c:numCache>
            </c:numRef>
          </c:xVal>
          <c:yVal>
            <c:numRef>
              <c:f>'150ml'!$I$2:$I$10</c:f>
              <c:numCache>
                <c:formatCode>General</c:formatCode>
                <c:ptCount val="9"/>
                <c:pt idx="0">
                  <c:v>1.0000000000000002</c:v>
                </c:pt>
                <c:pt idx="1">
                  <c:v>0.9196428571428571</c:v>
                </c:pt>
                <c:pt idx="2">
                  <c:v>0.83750000000000002</c:v>
                </c:pt>
                <c:pt idx="3">
                  <c:v>0.7250000000000002</c:v>
                </c:pt>
                <c:pt idx="4">
                  <c:v>0.61428571428571421</c:v>
                </c:pt>
                <c:pt idx="5">
                  <c:v>0.50000000000000011</c:v>
                </c:pt>
                <c:pt idx="6">
                  <c:v>0.43928571428571433</c:v>
                </c:pt>
                <c:pt idx="7">
                  <c:v>0.37321428571428572</c:v>
                </c:pt>
                <c:pt idx="8">
                  <c:v>0.36785714285714283</c:v>
                </c:pt>
              </c:numCache>
            </c:numRef>
          </c:yVal>
          <c:smooth val="1"/>
          <c:extLst>
            <c:ext xmlns:c16="http://schemas.microsoft.com/office/drawing/2014/chart" uri="{C3380CC4-5D6E-409C-BE32-E72D297353CC}">
              <c16:uniqueId val="{00000001-A17A-4374-A364-5E95A2B32349}"/>
            </c:ext>
          </c:extLst>
        </c:ser>
        <c:ser>
          <c:idx val="2"/>
          <c:order val="2"/>
          <c:tx>
            <c:v>0.06 mM</c:v>
          </c:tx>
          <c:spPr>
            <a:ln w="12700">
              <a:solidFill>
                <a:srgbClr val="6E7901"/>
              </a:solidFill>
            </a:ln>
          </c:spPr>
          <c:marker>
            <c:symbol val="circle"/>
            <c:size val="5"/>
            <c:spPr>
              <a:noFill/>
              <a:ln>
                <a:solidFill>
                  <a:srgbClr val="6E7901"/>
                </a:solidFill>
              </a:ln>
            </c:spPr>
          </c:marker>
          <c:xVal>
            <c:numRef>
              <c:f>'150ml'!$K$2:$K$10</c:f>
              <c:numCache>
                <c:formatCode>General</c:formatCode>
                <c:ptCount val="9"/>
                <c:pt idx="0">
                  <c:v>0</c:v>
                </c:pt>
                <c:pt idx="1">
                  <c:v>1</c:v>
                </c:pt>
                <c:pt idx="2">
                  <c:v>3</c:v>
                </c:pt>
                <c:pt idx="3">
                  <c:v>6</c:v>
                </c:pt>
                <c:pt idx="4">
                  <c:v>10</c:v>
                </c:pt>
                <c:pt idx="5">
                  <c:v>15</c:v>
                </c:pt>
                <c:pt idx="6">
                  <c:v>20</c:v>
                </c:pt>
                <c:pt idx="7">
                  <c:v>30</c:v>
                </c:pt>
                <c:pt idx="8">
                  <c:v>40</c:v>
                </c:pt>
              </c:numCache>
            </c:numRef>
          </c:xVal>
          <c:yVal>
            <c:numRef>
              <c:f>'150ml'!$N$2:$N$10</c:f>
              <c:numCache>
                <c:formatCode>General</c:formatCode>
                <c:ptCount val="9"/>
                <c:pt idx="0">
                  <c:v>1.0000003413878096</c:v>
                </c:pt>
                <c:pt idx="1">
                  <c:v>0.86559169335181374</c:v>
                </c:pt>
                <c:pt idx="2">
                  <c:v>0.60573497381555497</c:v>
                </c:pt>
                <c:pt idx="3">
                  <c:v>0.34050190835785632</c:v>
                </c:pt>
                <c:pt idx="4">
                  <c:v>0.24372768177193929</c:v>
                </c:pt>
                <c:pt idx="5">
                  <c:v>0.19713268378612742</c:v>
                </c:pt>
                <c:pt idx="6">
                  <c:v>0.15770614702890187</c:v>
                </c:pt>
                <c:pt idx="7">
                  <c:v>0.13978499395743577</c:v>
                </c:pt>
                <c:pt idx="8">
                  <c:v>0.11469537965738319</c:v>
                </c:pt>
              </c:numCache>
            </c:numRef>
          </c:yVal>
          <c:smooth val="1"/>
          <c:extLst>
            <c:ext xmlns:c16="http://schemas.microsoft.com/office/drawing/2014/chart" uri="{C3380CC4-5D6E-409C-BE32-E72D297353CC}">
              <c16:uniqueId val="{00000002-A17A-4374-A364-5E95A2B32349}"/>
            </c:ext>
          </c:extLst>
        </c:ser>
        <c:ser>
          <c:idx val="3"/>
          <c:order val="3"/>
          <c:tx>
            <c:v>0.1 mM</c:v>
          </c:tx>
          <c:spPr>
            <a:ln w="12700">
              <a:solidFill>
                <a:srgbClr val="1F3101"/>
              </a:solidFill>
            </a:ln>
          </c:spPr>
          <c:marker>
            <c:symbol val="square"/>
            <c:size val="5"/>
            <c:spPr>
              <a:noFill/>
              <a:ln>
                <a:solidFill>
                  <a:srgbClr val="1F3101"/>
                </a:solidFill>
              </a:ln>
            </c:spPr>
          </c:marker>
          <c:xVal>
            <c:numRef>
              <c:f>'150ml'!$P$2:$P$10</c:f>
              <c:numCache>
                <c:formatCode>General</c:formatCode>
                <c:ptCount val="9"/>
                <c:pt idx="0">
                  <c:v>0</c:v>
                </c:pt>
                <c:pt idx="1">
                  <c:v>1</c:v>
                </c:pt>
                <c:pt idx="2">
                  <c:v>3</c:v>
                </c:pt>
                <c:pt idx="3">
                  <c:v>6</c:v>
                </c:pt>
                <c:pt idx="4">
                  <c:v>10</c:v>
                </c:pt>
                <c:pt idx="5">
                  <c:v>15</c:v>
                </c:pt>
                <c:pt idx="6">
                  <c:v>20</c:v>
                </c:pt>
                <c:pt idx="7">
                  <c:v>30</c:v>
                </c:pt>
                <c:pt idx="8">
                  <c:v>40</c:v>
                </c:pt>
              </c:numCache>
            </c:numRef>
          </c:xVal>
          <c:yVal>
            <c:numRef>
              <c:f>'150ml'!$S$2:$S$10</c:f>
              <c:numCache>
                <c:formatCode>General</c:formatCode>
                <c:ptCount val="9"/>
                <c:pt idx="0">
                  <c:v>1.0000003413878096</c:v>
                </c:pt>
                <c:pt idx="1">
                  <c:v>0.78853073514450966</c:v>
                </c:pt>
                <c:pt idx="2">
                  <c:v>0.41397863595086748</c:v>
                </c:pt>
                <c:pt idx="3">
                  <c:v>0.21863806747188672</c:v>
                </c:pt>
                <c:pt idx="4">
                  <c:v>0.14516133987887558</c:v>
                </c:pt>
                <c:pt idx="5">
                  <c:v>0.11290326435023657</c:v>
                </c:pt>
                <c:pt idx="6">
                  <c:v>9.1397880664477224E-2</c:v>
                </c:pt>
                <c:pt idx="7">
                  <c:v>6.8279593202285938E-2</c:v>
                </c:pt>
                <c:pt idx="8">
                  <c:v>5.7347689828691595E-2</c:v>
                </c:pt>
              </c:numCache>
            </c:numRef>
          </c:yVal>
          <c:smooth val="1"/>
          <c:extLst>
            <c:ext xmlns:c16="http://schemas.microsoft.com/office/drawing/2014/chart" uri="{C3380CC4-5D6E-409C-BE32-E72D297353CC}">
              <c16:uniqueId val="{00000003-A17A-4374-A364-5E95A2B32349}"/>
            </c:ext>
          </c:extLst>
        </c:ser>
        <c:ser>
          <c:idx val="4"/>
          <c:order val="4"/>
          <c:tx>
            <c:v>0.3 mM</c:v>
          </c:tx>
          <c:spPr>
            <a:ln w="12700">
              <a:solidFill>
                <a:srgbClr val="36AF15"/>
              </a:solidFill>
            </a:ln>
          </c:spPr>
          <c:marker>
            <c:symbol val="diamond"/>
            <c:size val="6"/>
            <c:spPr>
              <a:noFill/>
              <a:ln>
                <a:solidFill>
                  <a:srgbClr val="36AF15"/>
                </a:solidFill>
              </a:ln>
            </c:spPr>
          </c:marker>
          <c:xVal>
            <c:numRef>
              <c:f>'150ml'!$P$2:$P$10</c:f>
              <c:numCache>
                <c:formatCode>General</c:formatCode>
                <c:ptCount val="9"/>
                <c:pt idx="0">
                  <c:v>0</c:v>
                </c:pt>
                <c:pt idx="1">
                  <c:v>1</c:v>
                </c:pt>
                <c:pt idx="2">
                  <c:v>3</c:v>
                </c:pt>
                <c:pt idx="3">
                  <c:v>6</c:v>
                </c:pt>
                <c:pt idx="4">
                  <c:v>10</c:v>
                </c:pt>
                <c:pt idx="5">
                  <c:v>15</c:v>
                </c:pt>
                <c:pt idx="6">
                  <c:v>20</c:v>
                </c:pt>
                <c:pt idx="7">
                  <c:v>30</c:v>
                </c:pt>
                <c:pt idx="8">
                  <c:v>40</c:v>
                </c:pt>
              </c:numCache>
            </c:numRef>
          </c:xVal>
          <c:yVal>
            <c:numRef>
              <c:f>'150ml'!$S$16:$S$25</c:f>
              <c:numCache>
                <c:formatCode>General</c:formatCode>
                <c:ptCount val="10"/>
                <c:pt idx="0">
                  <c:v>1</c:v>
                </c:pt>
                <c:pt idx="1">
                  <c:v>0.53073514451000003</c:v>
                </c:pt>
                <c:pt idx="2">
                  <c:v>0.17069999999999999</c:v>
                </c:pt>
                <c:pt idx="3">
                  <c:v>6.4718869999999998E-2</c:v>
                </c:pt>
                <c:pt idx="4">
                  <c:v>3.8788759999999999E-2</c:v>
                </c:pt>
                <c:pt idx="5">
                  <c:v>2.2903264350236999E-2</c:v>
                </c:pt>
                <c:pt idx="6">
                  <c:v>1.8013978806644702E-2</c:v>
                </c:pt>
                <c:pt idx="7">
                  <c:v>1.3978806644772E-3</c:v>
                </c:pt>
                <c:pt idx="8">
                  <c:v>2.6884290015769999E-4</c:v>
                </c:pt>
                <c:pt idx="9">
                  <c:v>0</c:v>
                </c:pt>
              </c:numCache>
            </c:numRef>
          </c:yVal>
          <c:smooth val="1"/>
          <c:extLst>
            <c:ext xmlns:c16="http://schemas.microsoft.com/office/drawing/2014/chart" uri="{C3380CC4-5D6E-409C-BE32-E72D297353CC}">
              <c16:uniqueId val="{00000004-A17A-4374-A364-5E95A2B32349}"/>
            </c:ext>
          </c:extLst>
        </c:ser>
        <c:dLbls>
          <c:showLegendKey val="0"/>
          <c:showVal val="0"/>
          <c:showCatName val="0"/>
          <c:showSerName val="0"/>
          <c:showPercent val="0"/>
          <c:showBubbleSize val="0"/>
        </c:dLbls>
        <c:axId val="1463579296"/>
        <c:axId val="1463582016"/>
      </c:scatterChart>
      <c:valAx>
        <c:axId val="1463579296"/>
        <c:scaling>
          <c:orientation val="minMax"/>
          <c:max val="40"/>
        </c:scaling>
        <c:delete val="0"/>
        <c:axPos val="b"/>
        <c:title>
          <c:tx>
            <c:rich>
              <a:bodyPr/>
              <a:lstStyle/>
              <a:p>
                <a:pPr>
                  <a:defRPr/>
                </a:pPr>
                <a:r>
                  <a:rPr lang="en-US"/>
                  <a:t>t / min</a:t>
                </a:r>
              </a:p>
            </c:rich>
          </c:tx>
          <c:layout>
            <c:manualLayout>
              <c:xMode val="edge"/>
              <c:yMode val="edge"/>
              <c:x val="0.35591732283464572"/>
              <c:y val="0.92960629921259841"/>
            </c:manualLayout>
          </c:layout>
          <c:overlay val="0"/>
        </c:title>
        <c:numFmt formatCode="General" sourceLinked="1"/>
        <c:majorTickMark val="out"/>
        <c:minorTickMark val="none"/>
        <c:tickLblPos val="nextTo"/>
        <c:crossAx val="1463582016"/>
        <c:crosses val="autoZero"/>
        <c:crossBetween val="midCat"/>
        <c:majorUnit val="10"/>
      </c:valAx>
      <c:valAx>
        <c:axId val="1463582016"/>
        <c:scaling>
          <c:orientation val="minMax"/>
          <c:min val="0"/>
        </c:scaling>
        <c:delete val="0"/>
        <c:axPos val="l"/>
        <c:title>
          <c:tx>
            <c:rich>
              <a:bodyPr/>
              <a:lstStyle/>
              <a:p>
                <a:pPr>
                  <a:defRPr/>
                </a:pPr>
                <a:r>
                  <a:rPr lang="en-US"/>
                  <a:t>[MB]t / [MB]0</a:t>
                </a:r>
              </a:p>
            </c:rich>
          </c:tx>
          <c:layout>
            <c:manualLayout>
              <c:xMode val="edge"/>
              <c:yMode val="edge"/>
              <c:x val="2.7777968801934692E-3"/>
              <c:y val="0.13172222471377407"/>
            </c:manualLayout>
          </c:layout>
          <c:overlay val="0"/>
        </c:title>
        <c:numFmt formatCode="General" sourceLinked="1"/>
        <c:majorTickMark val="out"/>
        <c:minorTickMark val="none"/>
        <c:tickLblPos val="nextTo"/>
        <c:crossAx val="1463579296"/>
        <c:crosses val="autoZero"/>
        <c:crossBetween val="midCat"/>
      </c:valAx>
      <c:spPr>
        <a:noFill/>
        <a:ln w="25400">
          <a:noFill/>
        </a:ln>
      </c:spPr>
    </c:plotArea>
    <c:legend>
      <c:legendPos val="r"/>
      <c:layout>
        <c:manualLayout>
          <c:xMode val="edge"/>
          <c:yMode val="edge"/>
          <c:x val="0.66295820009398387"/>
          <c:y val="7.4000871348571529E-4"/>
          <c:w val="0.33466652912927369"/>
          <c:h val="0.48806783767413686"/>
        </c:manualLayout>
      </c:layout>
      <c:overlay val="0"/>
    </c:legend>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C29D-4932-4045-A0FC-7245A9C2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1750</Words>
  <Characters>9975</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Phantoms Foundation</dc:creator>
  <cp:keywords/>
  <cp:lastModifiedBy>THIS</cp:lastModifiedBy>
  <cp:revision>2</cp:revision>
  <cp:lastPrinted>2016-10-26T15:14:00Z</cp:lastPrinted>
  <dcterms:created xsi:type="dcterms:W3CDTF">2024-09-12T21:07:00Z</dcterms:created>
  <dcterms:modified xsi:type="dcterms:W3CDTF">2024-09-12T21:07:00Z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http://www.zotero.org/styles/chemical-engineering-research-and-design</vt:lpwstr>
  </property>
  <property fmtid="{D5CDD505-2E9C-101B-9397-08002B2CF9AE}" pid="7" name="Mendeley Recent Style Name 2_1">
    <vt:lpwstr>Chemical Engineering Research and Design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http://www.zotero.org/styles/desalination</vt:lpwstr>
  </property>
  <property fmtid="{D5CDD505-2E9C-101B-9397-08002B2CF9AE}" pid="11" name="Mendeley Recent Style Name 4_1">
    <vt:lpwstr>Desalination</vt:lpwstr>
  </property>
  <property fmtid="{D5CDD505-2E9C-101B-9397-08002B2CF9AE}" pid="12" name="Mendeley Recent Style Id 5_1">
    <vt:lpwstr>http://www.zotero.org/styles/environmental-science-and-pollution-research</vt:lpwstr>
  </property>
  <property fmtid="{D5CDD505-2E9C-101B-9397-08002B2CF9AE}" pid="13" name="Mendeley Recent Style Name 5_1">
    <vt:lpwstr>Environmental Science and Pollution Research</vt:lpwstr>
  </property>
  <property fmtid="{D5CDD505-2E9C-101B-9397-08002B2CF9AE}" pid="14" name="Mendeley Recent Style Id 6_1">
    <vt:lpwstr>http://www.zotero.org/styles/international-journal-of-energy-and-environmental-engineering</vt:lpwstr>
  </property>
  <property fmtid="{D5CDD505-2E9C-101B-9397-08002B2CF9AE}" pid="15" name="Mendeley Recent Style Name 6_1">
    <vt:lpwstr>International Journal of Energy and Environmental Engineering</vt:lpwstr>
  </property>
  <property fmtid="{D5CDD505-2E9C-101B-9397-08002B2CF9AE}" pid="16" name="Mendeley Recent Style Id 7_1">
    <vt:lpwstr>http://www.zotero.org/styles/journal-of-environmental-chemical-engineering</vt:lpwstr>
  </property>
  <property fmtid="{D5CDD505-2E9C-101B-9397-08002B2CF9AE}" pid="17" name="Mendeley Recent Style Name 7_1">
    <vt:lpwstr>Journal of Environmental Chemical Engineering</vt:lpwstr>
  </property>
  <property fmtid="{D5CDD505-2E9C-101B-9397-08002B2CF9AE}" pid="18" name="Mendeley Recent Style Id 8_1">
    <vt:lpwstr>http://www.zotero.org/styles/journal-of-environmental-science-and-health-part-a</vt:lpwstr>
  </property>
  <property fmtid="{D5CDD505-2E9C-101B-9397-08002B2CF9AE}" pid="19" name="Mendeley Recent Style Name 8_1">
    <vt:lpwstr>Journal of Environmental Science and Health, Part A</vt:lpwstr>
  </property>
  <property fmtid="{D5CDD505-2E9C-101B-9397-08002B2CF9AE}" pid="20" name="Mendeley Recent Style Id 9_1">
    <vt:lpwstr>http://www.zotero.org/styles/monatshefte-fur-chemie-chemical-monthly</vt:lpwstr>
  </property>
  <property fmtid="{D5CDD505-2E9C-101B-9397-08002B2CF9AE}" pid="21" name="Mendeley Recent Style Name 9_1">
    <vt:lpwstr>Monatshefte für Chemie - Chemical Monthly</vt:lpwstr>
  </property>
  <property fmtid="{D5CDD505-2E9C-101B-9397-08002B2CF9AE}" pid="22" name="Mendeley Document_1">
    <vt:lpwstr>True</vt:lpwstr>
  </property>
  <property fmtid="{D5CDD505-2E9C-101B-9397-08002B2CF9AE}" pid="23" name="Mendeley Unique User Id_1">
    <vt:lpwstr>ec46e2f7-2a62-33b7-b560-fdf9c48515e8</vt:lpwstr>
  </property>
  <property fmtid="{D5CDD505-2E9C-101B-9397-08002B2CF9AE}" pid="24" name="Mendeley Citation Style_1">
    <vt:lpwstr>http://www.zotero.org/styles/desalination</vt:lpwstr>
  </property>
</Properties>
</file>