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371D" w14:textId="5ED4B8CF" w:rsidR="008C3D7E" w:rsidRDefault="008C3D7E" w:rsidP="008C3D7E">
      <w:pPr>
        <w:spacing w:after="0" w:line="240" w:lineRule="auto"/>
        <w:jc w:val="center"/>
        <w:rPr>
          <w:rFonts w:ascii="Century Gothic" w:eastAsia="Gulim" w:hAnsi="Century Gothic" w:cs="Lucida Sans Unicode"/>
          <w:b/>
          <w:spacing w:val="-10"/>
          <w:sz w:val="30"/>
          <w:szCs w:val="30"/>
        </w:rPr>
      </w:pPr>
      <w:proofErr w:type="spellStart"/>
      <w:r w:rsidRPr="008C3D7E">
        <w:rPr>
          <w:rFonts w:ascii="Century Gothic" w:eastAsia="Gulim" w:hAnsi="Century Gothic" w:cs="Lucida Sans Unicode"/>
          <w:b/>
          <w:spacing w:val="-10"/>
          <w:sz w:val="30"/>
          <w:szCs w:val="30"/>
        </w:rPr>
        <w:t>Nanoskiving</w:t>
      </w:r>
      <w:proofErr w:type="spellEnd"/>
      <w:r w:rsidRPr="008C3D7E">
        <w:rPr>
          <w:rFonts w:ascii="Century Gothic" w:eastAsia="Gulim" w:hAnsi="Century Gothic" w:cs="Lucida Sans Unicode"/>
          <w:b/>
          <w:spacing w:val="-10"/>
          <w:sz w:val="30"/>
          <w:szCs w:val="30"/>
        </w:rPr>
        <w:t xml:space="preserve"> of edge-exposed graphene nanoribbons with </w:t>
      </w:r>
      <w:proofErr w:type="spellStart"/>
      <w:r w:rsidRPr="008C3D7E">
        <w:rPr>
          <w:rFonts w:ascii="Century Gothic" w:eastAsia="Gulim" w:hAnsi="Century Gothic" w:cs="Lucida Sans Unicode"/>
          <w:b/>
          <w:spacing w:val="-10"/>
          <w:sz w:val="30"/>
          <w:szCs w:val="30"/>
        </w:rPr>
        <w:t>tunable</w:t>
      </w:r>
      <w:proofErr w:type="spellEnd"/>
      <w:r w:rsidRPr="008C3D7E">
        <w:rPr>
          <w:rFonts w:ascii="Century Gothic" w:eastAsia="Gulim" w:hAnsi="Century Gothic" w:cs="Lucida Sans Unicode"/>
          <w:b/>
          <w:spacing w:val="-10"/>
          <w:sz w:val="30"/>
          <w:szCs w:val="30"/>
        </w:rPr>
        <w:t xml:space="preserve"> width and inter-edge spacing</w:t>
      </w:r>
    </w:p>
    <w:p w14:paraId="086C2B0E" w14:textId="77777777" w:rsidR="008C3D7E" w:rsidRDefault="008C3D7E" w:rsidP="008C3D7E">
      <w:pPr>
        <w:pBdr>
          <w:top w:val="single" w:sz="4" w:space="1" w:color="auto"/>
          <w:bottom w:val="single" w:sz="4" w:space="1" w:color="auto"/>
        </w:pBdr>
        <w:spacing w:after="0" w:line="240" w:lineRule="auto"/>
        <w:rPr>
          <w:rFonts w:ascii="Century Gothic" w:eastAsia="Gulim" w:hAnsi="Century Gothic" w:cs="Lucida Sans Unicode"/>
          <w:b/>
        </w:rPr>
      </w:pPr>
    </w:p>
    <w:p w14:paraId="38BC718F" w14:textId="0178CAB9" w:rsidR="008C3D7E" w:rsidRDefault="008C3D7E" w:rsidP="008C3D7E">
      <w:pPr>
        <w:pBdr>
          <w:top w:val="single" w:sz="4" w:space="1" w:color="auto"/>
          <w:bottom w:val="single" w:sz="4" w:space="1" w:color="auto"/>
        </w:pBdr>
        <w:spacing w:after="0" w:line="240" w:lineRule="auto"/>
        <w:rPr>
          <w:rFonts w:ascii="Century Gothic" w:eastAsia="Gulim" w:hAnsi="Century Gothic" w:cs="Lucida Sans Unicode"/>
          <w:b/>
        </w:rPr>
      </w:pPr>
      <w:r>
        <w:rPr>
          <w:rFonts w:ascii="DengXian" w:hAnsi="DengXian" w:cs="Lucida Sans Unicode"/>
          <w:b/>
          <w:lang w:eastAsia="zh-CN"/>
        </w:rPr>
        <w:t>Xiaofang Kang</w:t>
      </w:r>
      <w:r w:rsidRPr="008C3D7E">
        <w:rPr>
          <w:rFonts w:ascii="Century Gothic" w:eastAsia="Gulim" w:hAnsi="Century Gothic" w:cs="Lucida Sans Unicode"/>
          <w:b/>
          <w:bCs/>
          <w:i/>
          <w:sz w:val="20"/>
          <w:szCs w:val="20"/>
          <w:vertAlign w:val="superscript"/>
        </w:rPr>
        <w:t>1</w:t>
      </w:r>
    </w:p>
    <w:p w14:paraId="39A598B3" w14:textId="32D8D441" w:rsidR="008C3D7E" w:rsidRDefault="008C3D7E" w:rsidP="008C3D7E">
      <w:pPr>
        <w:pBdr>
          <w:top w:val="single" w:sz="4" w:space="1" w:color="auto"/>
          <w:bottom w:val="single" w:sz="4" w:space="1" w:color="auto"/>
        </w:pBdr>
        <w:spacing w:after="0" w:line="240" w:lineRule="auto"/>
        <w:rPr>
          <w:rFonts w:ascii="Century Gothic" w:eastAsia="Gulim" w:hAnsi="Century Gothic" w:cs="Lucida Sans Unicode"/>
          <w:i/>
          <w:sz w:val="20"/>
          <w:szCs w:val="20"/>
        </w:rPr>
      </w:pPr>
      <w:r w:rsidRPr="008C3D7E">
        <w:rPr>
          <w:rFonts w:ascii="Century Gothic" w:eastAsia="Gulim" w:hAnsi="Century Gothic" w:cs="Lucida Sans Unicode"/>
          <w:i/>
          <w:sz w:val="20"/>
          <w:szCs w:val="20"/>
        </w:rPr>
        <w:t>Jianwei Gao</w:t>
      </w:r>
      <w:r w:rsidRPr="008C3D7E">
        <w:rPr>
          <w:rFonts w:ascii="Century Gothic" w:eastAsia="Gulim" w:hAnsi="Century Gothic" w:cs="Lucida Sans Unicode"/>
          <w:i/>
          <w:sz w:val="20"/>
          <w:szCs w:val="20"/>
          <w:vertAlign w:val="superscript"/>
        </w:rPr>
        <w:t>1</w:t>
      </w:r>
      <w:r w:rsidRPr="008C3D7E">
        <w:rPr>
          <w:rFonts w:ascii="Century Gothic" w:eastAsia="Gulim" w:hAnsi="Century Gothic" w:cs="Lucida Sans Unicode"/>
          <w:i/>
          <w:sz w:val="20"/>
          <w:szCs w:val="20"/>
        </w:rPr>
        <w:t xml:space="preserve">,  </w:t>
      </w:r>
      <w:proofErr w:type="spellStart"/>
      <w:r w:rsidRPr="008C3D7E">
        <w:rPr>
          <w:rFonts w:ascii="Century Gothic" w:eastAsia="Gulim" w:hAnsi="Century Gothic" w:cs="Lucida Sans Unicode"/>
          <w:i/>
          <w:sz w:val="20"/>
          <w:szCs w:val="20"/>
        </w:rPr>
        <w:t>Buhang</w:t>
      </w:r>
      <w:proofErr w:type="spellEnd"/>
      <w:r w:rsidRPr="008C3D7E">
        <w:rPr>
          <w:rFonts w:ascii="Century Gothic" w:eastAsia="Gulim" w:hAnsi="Century Gothic" w:cs="Lucida Sans Unicode"/>
          <w:i/>
          <w:sz w:val="20"/>
          <w:szCs w:val="20"/>
        </w:rPr>
        <w:t xml:space="preserve"> Chen</w:t>
      </w:r>
      <w:r w:rsidRPr="008C3D7E">
        <w:rPr>
          <w:rFonts w:ascii="Century Gothic" w:eastAsia="Gulim" w:hAnsi="Century Gothic" w:cs="Lucida Sans Unicode"/>
          <w:i/>
          <w:sz w:val="20"/>
          <w:szCs w:val="20"/>
          <w:vertAlign w:val="superscript"/>
        </w:rPr>
        <w:t>2,3</w:t>
      </w:r>
      <w:r w:rsidRPr="008C3D7E">
        <w:rPr>
          <w:rFonts w:ascii="Century Gothic" w:eastAsia="Gulim" w:hAnsi="Century Gothic" w:cs="Lucida Sans Unicode"/>
          <w:i/>
          <w:sz w:val="20"/>
          <w:szCs w:val="20"/>
        </w:rPr>
        <w:t>, Luzhao Sun</w:t>
      </w:r>
      <w:r w:rsidRPr="008C3D7E">
        <w:rPr>
          <w:rFonts w:ascii="Century Gothic" w:eastAsia="Gulim" w:hAnsi="Century Gothic" w:cs="Lucida Sans Unicode"/>
          <w:i/>
          <w:sz w:val="20"/>
          <w:szCs w:val="20"/>
          <w:vertAlign w:val="superscript"/>
        </w:rPr>
        <w:t>2,3</w:t>
      </w:r>
      <w:r w:rsidRPr="008C3D7E">
        <w:rPr>
          <w:rFonts w:ascii="Century Gothic" w:eastAsia="Gulim" w:hAnsi="Century Gothic" w:cs="Lucida Sans Unicode"/>
          <w:i/>
          <w:sz w:val="20"/>
          <w:szCs w:val="20"/>
        </w:rPr>
        <w:t xml:space="preserve">, </w:t>
      </w:r>
      <w:proofErr w:type="spellStart"/>
      <w:r w:rsidRPr="008C3D7E">
        <w:rPr>
          <w:rFonts w:ascii="Century Gothic" w:eastAsia="Gulim" w:hAnsi="Century Gothic" w:cs="Lucida Sans Unicode"/>
          <w:i/>
          <w:sz w:val="20"/>
          <w:szCs w:val="20"/>
        </w:rPr>
        <w:t>Zhongfan</w:t>
      </w:r>
      <w:proofErr w:type="spellEnd"/>
      <w:r w:rsidRPr="008C3D7E">
        <w:rPr>
          <w:rFonts w:ascii="Century Gothic" w:eastAsia="Gulim" w:hAnsi="Century Gothic" w:cs="Lucida Sans Unicode"/>
          <w:i/>
          <w:sz w:val="20"/>
          <w:szCs w:val="20"/>
        </w:rPr>
        <w:t xml:space="preserve"> Liu</w:t>
      </w:r>
      <w:r w:rsidRPr="008C3D7E">
        <w:rPr>
          <w:rFonts w:ascii="Century Gothic" w:eastAsia="Gulim" w:hAnsi="Century Gothic" w:cs="Lucida Sans Unicode"/>
          <w:i/>
          <w:sz w:val="20"/>
          <w:szCs w:val="20"/>
          <w:vertAlign w:val="superscript"/>
        </w:rPr>
        <w:t>2,3</w:t>
      </w:r>
      <w:r w:rsidRPr="008C3D7E">
        <w:rPr>
          <w:rFonts w:ascii="Century Gothic" w:eastAsia="Gulim" w:hAnsi="Century Gothic" w:cs="Lucida Sans Unicode"/>
          <w:i/>
          <w:sz w:val="20"/>
          <w:szCs w:val="20"/>
        </w:rPr>
        <w:t>, G. F. Schneider</w:t>
      </w:r>
      <w:r w:rsidRPr="008C3D7E">
        <w:rPr>
          <w:rFonts w:ascii="Century Gothic" w:eastAsia="Gulim" w:hAnsi="Century Gothic" w:cs="Lucida Sans Unicode"/>
          <w:i/>
          <w:sz w:val="20"/>
          <w:szCs w:val="20"/>
          <w:vertAlign w:val="superscript"/>
        </w:rPr>
        <w:t>1*</w:t>
      </w:r>
    </w:p>
    <w:p w14:paraId="61ABAE47" w14:textId="66F6E482" w:rsidR="008C3D7E" w:rsidRPr="008C3D7E" w:rsidRDefault="008C3D7E" w:rsidP="008C3D7E">
      <w:pPr>
        <w:pBdr>
          <w:top w:val="single" w:sz="4" w:space="1" w:color="auto"/>
          <w:bottom w:val="single" w:sz="4" w:space="1" w:color="auto"/>
        </w:pBdr>
        <w:spacing w:after="0" w:line="240" w:lineRule="auto"/>
        <w:rPr>
          <w:rFonts w:ascii="Century Gothic" w:eastAsia="Gulim" w:hAnsi="Century Gothic" w:cs="Lucida Sans Unicode"/>
          <w:i/>
          <w:sz w:val="20"/>
          <w:szCs w:val="20"/>
        </w:rPr>
      </w:pPr>
      <w:r w:rsidRPr="008C3D7E">
        <w:rPr>
          <w:rFonts w:ascii="Century Gothic" w:eastAsia="Gulim" w:hAnsi="Century Gothic" w:cs="Lucida Sans Unicode"/>
          <w:i/>
          <w:sz w:val="20"/>
          <w:szCs w:val="20"/>
          <w:vertAlign w:val="superscript"/>
        </w:rPr>
        <w:t>1</w:t>
      </w:r>
      <w:r w:rsidRPr="008C3D7E">
        <w:rPr>
          <w:rFonts w:ascii="Century Gothic" w:eastAsia="Gulim" w:hAnsi="Century Gothic" w:cs="Lucida Sans Unicode"/>
          <w:i/>
          <w:sz w:val="20"/>
          <w:szCs w:val="20"/>
        </w:rPr>
        <w:t xml:space="preserve">Leiden Institute of Chemistry, Leiden University, </w:t>
      </w:r>
      <w:proofErr w:type="spellStart"/>
      <w:r w:rsidRPr="008C3D7E">
        <w:rPr>
          <w:rFonts w:ascii="Century Gothic" w:eastAsia="Gulim" w:hAnsi="Century Gothic" w:cs="Lucida Sans Unicode"/>
          <w:i/>
          <w:sz w:val="20"/>
          <w:szCs w:val="20"/>
        </w:rPr>
        <w:t>Einsteinweg</w:t>
      </w:r>
      <w:proofErr w:type="spellEnd"/>
      <w:r w:rsidRPr="008C3D7E">
        <w:rPr>
          <w:rFonts w:ascii="Century Gothic" w:eastAsia="Gulim" w:hAnsi="Century Gothic" w:cs="Lucida Sans Unicode"/>
          <w:i/>
          <w:sz w:val="20"/>
          <w:szCs w:val="20"/>
        </w:rPr>
        <w:t xml:space="preserve"> 55, 2333CC Leiden, The Netherlands</w:t>
      </w:r>
    </w:p>
    <w:p w14:paraId="1249C7DE" w14:textId="77777777" w:rsidR="008C3D7E" w:rsidRPr="008C3D7E" w:rsidRDefault="008C3D7E" w:rsidP="008C3D7E">
      <w:pPr>
        <w:pBdr>
          <w:top w:val="single" w:sz="4" w:space="1" w:color="auto"/>
          <w:bottom w:val="single" w:sz="4" w:space="1" w:color="auto"/>
        </w:pBdr>
        <w:spacing w:after="0" w:line="240" w:lineRule="auto"/>
        <w:rPr>
          <w:rFonts w:ascii="Century Gothic" w:eastAsia="Gulim" w:hAnsi="Century Gothic" w:cs="Lucida Sans Unicode"/>
          <w:i/>
          <w:sz w:val="20"/>
          <w:szCs w:val="20"/>
        </w:rPr>
      </w:pPr>
      <w:r w:rsidRPr="008C3D7E">
        <w:rPr>
          <w:rFonts w:ascii="Century Gothic" w:eastAsia="Gulim" w:hAnsi="Century Gothic" w:cs="Lucida Sans Unicode"/>
          <w:i/>
          <w:sz w:val="20"/>
          <w:szCs w:val="20"/>
          <w:vertAlign w:val="superscript"/>
        </w:rPr>
        <w:t>2</w:t>
      </w:r>
      <w:r w:rsidRPr="008C3D7E">
        <w:rPr>
          <w:rFonts w:ascii="Century Gothic" w:eastAsia="Gulim" w:hAnsi="Century Gothic" w:cs="Lucida Sans Unicode"/>
          <w:i/>
          <w:sz w:val="20"/>
          <w:szCs w:val="20"/>
        </w:rPr>
        <w:t xml:space="preserve"> </w:t>
      </w:r>
      <w:proofErr w:type="spellStart"/>
      <w:r w:rsidRPr="008C3D7E">
        <w:rPr>
          <w:rFonts w:ascii="Century Gothic" w:eastAsia="Gulim" w:hAnsi="Century Gothic" w:cs="Lucida Sans Unicode"/>
          <w:i/>
          <w:sz w:val="20"/>
          <w:szCs w:val="20"/>
        </w:rPr>
        <w:t>Center</w:t>
      </w:r>
      <w:proofErr w:type="spellEnd"/>
      <w:r w:rsidRPr="008C3D7E">
        <w:rPr>
          <w:rFonts w:ascii="Century Gothic" w:eastAsia="Gulim" w:hAnsi="Century Gothic" w:cs="Lucida Sans Unicode"/>
          <w:i/>
          <w:sz w:val="20"/>
          <w:szCs w:val="20"/>
        </w:rPr>
        <w:t xml:space="preserve"> for </w:t>
      </w:r>
      <w:proofErr w:type="spellStart"/>
      <w:r w:rsidRPr="008C3D7E">
        <w:rPr>
          <w:rFonts w:ascii="Century Gothic" w:eastAsia="Gulim" w:hAnsi="Century Gothic" w:cs="Lucida Sans Unicode"/>
          <w:i/>
          <w:sz w:val="20"/>
          <w:szCs w:val="20"/>
        </w:rPr>
        <w:t>Nanochemistry</w:t>
      </w:r>
      <w:proofErr w:type="spellEnd"/>
      <w:r w:rsidRPr="008C3D7E">
        <w:rPr>
          <w:rFonts w:ascii="Century Gothic" w:eastAsia="Gulim" w:hAnsi="Century Gothic" w:cs="Lucida Sans Unicode"/>
          <w:i/>
          <w:sz w:val="20"/>
          <w:szCs w:val="20"/>
        </w:rPr>
        <w:t xml:space="preserve">, Beijing Science and Engineering </w:t>
      </w:r>
      <w:proofErr w:type="spellStart"/>
      <w:r w:rsidRPr="008C3D7E">
        <w:rPr>
          <w:rFonts w:ascii="Century Gothic" w:eastAsia="Gulim" w:hAnsi="Century Gothic" w:cs="Lucida Sans Unicode"/>
          <w:i/>
          <w:sz w:val="20"/>
          <w:szCs w:val="20"/>
        </w:rPr>
        <w:t>Center</w:t>
      </w:r>
      <w:proofErr w:type="spellEnd"/>
      <w:r w:rsidRPr="008C3D7E">
        <w:rPr>
          <w:rFonts w:ascii="Century Gothic" w:eastAsia="Gulim" w:hAnsi="Century Gothic" w:cs="Lucida Sans Unicode"/>
          <w:i/>
          <w:sz w:val="20"/>
          <w:szCs w:val="20"/>
        </w:rPr>
        <w:t xml:space="preserve"> for Nanocarbons, Beijing National Laboratory for Molecular Sciences, College of Chemistry and Molecular Engineering, Academy for Advanced Interdisciplinary Studies, Peking University, Beijing, China.</w:t>
      </w:r>
    </w:p>
    <w:p w14:paraId="039F6832" w14:textId="33853C9B" w:rsidR="008C3D7E" w:rsidRDefault="008C3D7E" w:rsidP="008C3D7E">
      <w:pPr>
        <w:pBdr>
          <w:top w:val="single" w:sz="4" w:space="1" w:color="auto"/>
          <w:bottom w:val="single" w:sz="4" w:space="1" w:color="auto"/>
        </w:pBdr>
        <w:spacing w:after="0" w:line="240" w:lineRule="auto"/>
        <w:rPr>
          <w:rFonts w:ascii="Century Gothic" w:eastAsia="Gulim" w:hAnsi="Century Gothic" w:cs="Lucida Sans Unicode"/>
          <w:i/>
          <w:sz w:val="20"/>
          <w:szCs w:val="20"/>
        </w:rPr>
      </w:pPr>
      <w:r w:rsidRPr="008C3D7E">
        <w:rPr>
          <w:rFonts w:ascii="Century Gothic" w:eastAsia="Gulim" w:hAnsi="Century Gothic" w:cs="Lucida Sans Unicode"/>
          <w:i/>
          <w:sz w:val="20"/>
          <w:szCs w:val="20"/>
          <w:vertAlign w:val="superscript"/>
        </w:rPr>
        <w:t>3</w:t>
      </w:r>
      <w:r w:rsidRPr="008C3D7E">
        <w:rPr>
          <w:rFonts w:ascii="Century Gothic" w:eastAsia="Gulim" w:hAnsi="Century Gothic" w:cs="Lucida Sans Unicode"/>
          <w:i/>
          <w:sz w:val="20"/>
          <w:szCs w:val="20"/>
        </w:rPr>
        <w:t xml:space="preserve"> Beijing Graphene Institute (BGI), Beijing, China.</w:t>
      </w:r>
      <w:r>
        <w:rPr>
          <w:rFonts w:ascii="Century Gothic" w:eastAsia="Gulim" w:hAnsi="Century Gothic" w:cs="Lucida Sans Unicode"/>
          <w:i/>
          <w:sz w:val="20"/>
          <w:szCs w:val="20"/>
        </w:rPr>
        <w:t xml:space="preserve"> </w:t>
      </w:r>
    </w:p>
    <w:p w14:paraId="156CE5A3" w14:textId="65827C53" w:rsidR="008C3D7E" w:rsidRDefault="001D35F3" w:rsidP="008C3D7E">
      <w:pPr>
        <w:pBdr>
          <w:top w:val="single" w:sz="4" w:space="1" w:color="auto"/>
          <w:bottom w:val="single" w:sz="4" w:space="1" w:color="auto"/>
        </w:pBdr>
        <w:spacing w:after="0" w:line="240" w:lineRule="auto"/>
        <w:rPr>
          <w:rFonts w:ascii="Century Gothic" w:eastAsia="Gulim" w:hAnsi="Century Gothic" w:cs="Lucida Sans Unicode"/>
          <w:color w:val="4F81BD"/>
          <w:sz w:val="20"/>
          <w:szCs w:val="20"/>
        </w:rPr>
      </w:pPr>
      <w:hyperlink r:id="rId5" w:history="1">
        <w:r w:rsidR="008C3D7E" w:rsidRPr="00341244">
          <w:rPr>
            <w:rStyle w:val="Hyperlink"/>
            <w:rFonts w:ascii="Century Gothic" w:eastAsia="Gulim" w:hAnsi="Century Gothic" w:cs="Lucida Sans Unicode"/>
            <w:sz w:val="20"/>
            <w:szCs w:val="20"/>
          </w:rPr>
          <w:t>x.kang@lic.leidenuniv.nl</w:t>
        </w:r>
      </w:hyperlink>
      <w:r w:rsidR="008C3D7E">
        <w:rPr>
          <w:rFonts w:ascii="Century Gothic" w:eastAsia="Gulim" w:hAnsi="Century Gothic" w:cs="Lucida Sans Unicode"/>
          <w:color w:val="4F81BD"/>
          <w:sz w:val="20"/>
          <w:szCs w:val="20"/>
        </w:rPr>
        <w:t xml:space="preserve">; </w:t>
      </w:r>
      <w:hyperlink r:id="rId6" w:history="1">
        <w:r w:rsidR="008C3D7E" w:rsidRPr="00341244">
          <w:rPr>
            <w:rStyle w:val="Hyperlink"/>
            <w:rFonts w:ascii="Century Gothic" w:eastAsia="Gulim" w:hAnsi="Century Gothic" w:cs="Lucida Sans Unicode"/>
            <w:sz w:val="20"/>
            <w:szCs w:val="20"/>
          </w:rPr>
          <w:t>g.f.schneider@chem.leidenuniv.nl</w:t>
        </w:r>
      </w:hyperlink>
    </w:p>
    <w:p w14:paraId="0DB25CC9" w14:textId="77777777" w:rsidR="008C3D7E" w:rsidRDefault="008C3D7E" w:rsidP="008C3D7E">
      <w:pPr>
        <w:pBdr>
          <w:top w:val="single" w:sz="4" w:space="1" w:color="auto"/>
          <w:bottom w:val="single" w:sz="4" w:space="1" w:color="auto"/>
        </w:pBdr>
        <w:spacing w:after="0" w:line="240" w:lineRule="auto"/>
        <w:rPr>
          <w:rFonts w:ascii="Century Gothic" w:eastAsia="Gulim" w:hAnsi="Century Gothic" w:cs="Lucida Sans Unicode"/>
          <w:sz w:val="20"/>
          <w:szCs w:val="20"/>
        </w:rPr>
      </w:pPr>
    </w:p>
    <w:p w14:paraId="0E9E31D6" w14:textId="77777777" w:rsidR="008C3D7E" w:rsidRDefault="008C3D7E" w:rsidP="008C3D7E">
      <w:pPr>
        <w:spacing w:after="0" w:line="240" w:lineRule="auto"/>
        <w:rPr>
          <w:rFonts w:ascii="Century Gothic" w:eastAsia="Gulim" w:hAnsi="Century Gothic" w:cs="Lucida Sans Unicode"/>
          <w:b/>
          <w:sz w:val="20"/>
          <w:szCs w:val="20"/>
        </w:rPr>
      </w:pPr>
    </w:p>
    <w:p w14:paraId="65EA95AA" w14:textId="77777777" w:rsidR="008C3D7E" w:rsidRDefault="008C3D7E" w:rsidP="008C3D7E">
      <w:pPr>
        <w:spacing w:after="0" w:line="240" w:lineRule="auto"/>
        <w:rPr>
          <w:rFonts w:ascii="Century Gothic" w:eastAsia="Gulim" w:hAnsi="Century Gothic" w:cs="Lucida Sans Unicode"/>
          <w:spacing w:val="-2"/>
        </w:rPr>
      </w:pPr>
      <w:r>
        <w:rPr>
          <w:rFonts w:ascii="Century Gothic" w:eastAsia="Gulim" w:hAnsi="Century Gothic" w:cs="Lucida Sans Unicode"/>
          <w:spacing w:val="-2"/>
        </w:rPr>
        <w:t xml:space="preserve">Abstract </w:t>
      </w:r>
    </w:p>
    <w:p w14:paraId="0963B9D1" w14:textId="70547241" w:rsidR="008C3D7E" w:rsidRDefault="008C3D7E" w:rsidP="008C3D7E">
      <w:pPr>
        <w:spacing w:after="0" w:line="240" w:lineRule="auto"/>
        <w:rPr>
          <w:rFonts w:ascii="Century Gothic" w:eastAsia="Gulim" w:hAnsi="Century Gothic" w:cs="Lucida Sans Unicode"/>
        </w:rPr>
      </w:pPr>
      <w:r w:rsidRPr="008C3D7E">
        <w:rPr>
          <w:rFonts w:ascii="Century Gothic" w:eastAsia="Gulim" w:hAnsi="Century Gothic" w:cs="Lucida Sans Unicode"/>
          <w:bCs/>
        </w:rPr>
        <w:t>Graphene nanoribbons (GNRs) exhibit unique electronic properties arising from their one-dimensional confinement and edge effects, rendering them promising for nanoelectronics applications. In this work, we report a novel method to fabricate edge-up, width-</w:t>
      </w:r>
      <w:proofErr w:type="spellStart"/>
      <w:r w:rsidRPr="008C3D7E">
        <w:rPr>
          <w:rFonts w:ascii="Century Gothic" w:eastAsia="Gulim" w:hAnsi="Century Gothic" w:cs="Lucida Sans Unicode"/>
          <w:bCs/>
        </w:rPr>
        <w:t>tunable</w:t>
      </w:r>
      <w:proofErr w:type="spellEnd"/>
      <w:r w:rsidRPr="008C3D7E">
        <w:rPr>
          <w:rFonts w:ascii="Century Gothic" w:eastAsia="Gulim" w:hAnsi="Century Gothic" w:cs="Lucida Sans Unicode"/>
          <w:bCs/>
        </w:rPr>
        <w:t xml:space="preserve"> GNRs (50-200 nm) by embedding monolayer graphene in resin and precisely controlling the cutting thickness via ultramicrotomy. Notably, the GNR edges are exposed upward while the basal plane remains embedded, enabling subsequent targeted edge engineering. Furthermore, we also controlled the inter-ribbon edge spacing by </w:t>
      </w:r>
      <w:proofErr w:type="spellStart"/>
      <w:r w:rsidR="00B82E73">
        <w:rPr>
          <w:rFonts w:ascii="Century Gothic" w:eastAsia="Gulim" w:hAnsi="Century Gothic" w:cs="Lucida Sans Unicode"/>
          <w:bCs/>
        </w:rPr>
        <w:t>analyzing</w:t>
      </w:r>
      <w:proofErr w:type="spellEnd"/>
      <w:r w:rsidRPr="008C3D7E">
        <w:rPr>
          <w:rFonts w:ascii="Century Gothic" w:eastAsia="Gulim" w:hAnsi="Century Gothic" w:cs="Lucida Sans Unicode"/>
          <w:bCs/>
        </w:rPr>
        <w:t xml:space="preserve"> the stress distribution during the cutting process and adjusting the blade's angle relative to the graphene. This precise control over GNR width, edge exposure, and inter-edge spacing provides an alternative to lithographic approaches to explore the importance of edge chemistry</w:t>
      </w:r>
      <w:r w:rsidR="001D35F3">
        <w:rPr>
          <w:rFonts w:ascii="Century Gothic" w:hAnsi="Century Gothic" w:cs="Lucida Sans Unicode" w:hint="eastAsia"/>
          <w:bCs/>
          <w:lang w:eastAsia="zh-CN"/>
        </w:rPr>
        <w:t xml:space="preserve"> </w:t>
      </w:r>
      <w:r w:rsidRPr="008C3D7E">
        <w:rPr>
          <w:rFonts w:ascii="Century Gothic" w:eastAsia="Gulim" w:hAnsi="Century Gothic" w:cs="Lucida Sans Unicode"/>
          <w:bCs/>
        </w:rPr>
        <w:t>in nanoribbon sensing.</w:t>
      </w:r>
      <w:r w:rsidR="009B0F22">
        <w:rPr>
          <w:rFonts w:ascii="Century Gothic" w:eastAsia="Gulim" w:hAnsi="Century Gothic" w:cs="Lucida Sans Unicode"/>
        </w:rPr>
        <w:t xml:space="preserve"> </w:t>
      </w:r>
    </w:p>
    <w:p w14:paraId="51DC4018" w14:textId="77777777" w:rsidR="008C3D7E" w:rsidRDefault="008C3D7E" w:rsidP="008C3D7E">
      <w:pPr>
        <w:spacing w:after="0" w:line="240" w:lineRule="auto"/>
        <w:rPr>
          <w:rFonts w:ascii="Century Gothic" w:eastAsia="Gulim" w:hAnsi="Century Gothic" w:cs="Lucida Sans Unicode"/>
        </w:rPr>
      </w:pPr>
    </w:p>
    <w:p w14:paraId="4081F00A" w14:textId="77777777" w:rsidR="008C3D7E" w:rsidRDefault="008C3D7E" w:rsidP="008C3D7E">
      <w:pPr>
        <w:pBdr>
          <w:top w:val="single" w:sz="2" w:space="1" w:color="auto"/>
          <w:bottom w:val="single" w:sz="2" w:space="1" w:color="auto"/>
        </w:pBdr>
        <w:spacing w:after="0" w:line="240" w:lineRule="auto"/>
        <w:rPr>
          <w:rFonts w:ascii="Century Gothic" w:eastAsia="Gulim" w:hAnsi="Century Gothic" w:cs="Lucida Sans Unicode"/>
        </w:rPr>
      </w:pPr>
      <w:r>
        <w:rPr>
          <w:rFonts w:ascii="Century Gothic" w:eastAsia="Gulim" w:hAnsi="Century Gothic" w:cs="Lucida Sans Unicode"/>
        </w:rPr>
        <w:t>Figures</w:t>
      </w:r>
    </w:p>
    <w:p w14:paraId="53E28C78" w14:textId="77777777" w:rsidR="008C3D7E" w:rsidRDefault="008C3D7E" w:rsidP="008C3D7E">
      <w:pPr>
        <w:spacing w:after="0" w:line="240" w:lineRule="auto"/>
        <w:rPr>
          <w:rFonts w:ascii="Century Gothic" w:eastAsia="Gulim" w:hAnsi="Century Gothic" w:cs="Lucida Sans Unicode"/>
        </w:rPr>
      </w:pPr>
    </w:p>
    <w:p w14:paraId="3533B375" w14:textId="48997E1D" w:rsidR="008C3D7E" w:rsidRDefault="009B0F22" w:rsidP="008C3D7E">
      <w:pPr>
        <w:spacing w:after="0" w:line="240" w:lineRule="auto"/>
        <w:ind w:right="-429"/>
        <w:jc w:val="center"/>
        <w:rPr>
          <w:rFonts w:ascii="Gulim" w:eastAsia="Gulim" w:hAnsi="Gulim" w:cs="Lucida Sans Unicode"/>
        </w:rPr>
      </w:pPr>
      <w:r>
        <w:rPr>
          <w:rFonts w:ascii="Gulim" w:eastAsia="Gulim" w:hAnsi="Gulim" w:cs="Lucida Sans Unicode"/>
          <w:noProof/>
        </w:rPr>
        <w:drawing>
          <wp:inline distT="0" distB="0" distL="0" distR="0" wp14:anchorId="3BC75367" wp14:editId="0E814DE7">
            <wp:extent cx="5377200" cy="1620000"/>
            <wp:effectExtent l="0" t="0" r="0" b="0"/>
            <wp:docPr id="494910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7200" cy="1620000"/>
                    </a:xfrm>
                    <a:prstGeom prst="rect">
                      <a:avLst/>
                    </a:prstGeom>
                    <a:noFill/>
                  </pic:spPr>
                </pic:pic>
              </a:graphicData>
            </a:graphic>
          </wp:inline>
        </w:drawing>
      </w:r>
    </w:p>
    <w:p w14:paraId="1B785D82" w14:textId="77777777" w:rsidR="008C3D7E" w:rsidRPr="009B0F22" w:rsidRDefault="008C3D7E" w:rsidP="008C3D7E">
      <w:pPr>
        <w:spacing w:after="0" w:line="240" w:lineRule="auto"/>
        <w:rPr>
          <w:rFonts w:ascii="Gulim" w:hAnsi="Gulim" w:cs="Lucida Sans Unicode" w:hint="eastAsia"/>
          <w:lang w:eastAsia="zh-CN"/>
        </w:rPr>
      </w:pPr>
    </w:p>
    <w:p w14:paraId="73A7FB12" w14:textId="14AC009D" w:rsidR="008C3D7E" w:rsidRPr="009B0F22" w:rsidRDefault="008C3D7E" w:rsidP="001D35F3">
      <w:pPr>
        <w:spacing w:after="0" w:line="240" w:lineRule="auto"/>
        <w:jc w:val="center"/>
        <w:rPr>
          <w:rFonts w:ascii="Century Gothic" w:hAnsi="Century Gothic" w:cs="Lucida Sans Unicode" w:hint="eastAsia"/>
          <w:sz w:val="20"/>
          <w:szCs w:val="20"/>
          <w:lang w:eastAsia="zh-CN"/>
        </w:rPr>
      </w:pPr>
      <w:r>
        <w:rPr>
          <w:rFonts w:ascii="Century Gothic" w:eastAsia="Gulim" w:hAnsi="Century Gothic" w:cs="Lucida Sans Unicode"/>
          <w:b/>
          <w:sz w:val="20"/>
          <w:szCs w:val="20"/>
        </w:rPr>
        <w:t>Figure 1:</w:t>
      </w:r>
      <w:r>
        <w:rPr>
          <w:rFonts w:ascii="Century Gothic" w:eastAsia="Gulim" w:hAnsi="Century Gothic" w:cs="Lucida Sans Unicode"/>
          <w:sz w:val="20"/>
          <w:szCs w:val="20"/>
        </w:rPr>
        <w:t xml:space="preserve"> </w:t>
      </w:r>
      <w:r w:rsidR="009B0F22">
        <w:rPr>
          <w:rFonts w:ascii="Century Gothic" w:hAnsi="Century Gothic" w:cs="Lucida Sans Unicode"/>
          <w:sz w:val="20"/>
          <w:szCs w:val="20"/>
          <w:lang w:eastAsia="zh-CN"/>
        </w:rPr>
        <w:t>Fabrication</w:t>
      </w:r>
      <w:r w:rsidR="009B0F22">
        <w:rPr>
          <w:rFonts w:ascii="Century Gothic" w:hAnsi="Century Gothic" w:cs="Lucida Sans Unicode" w:hint="eastAsia"/>
          <w:sz w:val="20"/>
          <w:szCs w:val="20"/>
          <w:lang w:eastAsia="zh-CN"/>
        </w:rPr>
        <w:t xml:space="preserve"> of</w:t>
      </w:r>
      <w:r w:rsidR="009B0F22" w:rsidRPr="009B0F22">
        <w:rPr>
          <w:rFonts w:ascii="Century Gothic" w:eastAsia="Gulim" w:hAnsi="Century Gothic" w:cs="Lucida Sans Unicode"/>
          <w:sz w:val="20"/>
          <w:szCs w:val="20"/>
        </w:rPr>
        <w:t xml:space="preserve"> graphene nanoribbon</w:t>
      </w:r>
      <w:r w:rsidR="009B0F22">
        <w:rPr>
          <w:rFonts w:ascii="Century Gothic" w:hAnsi="Century Gothic" w:cs="Lucida Sans Unicode" w:hint="eastAsia"/>
          <w:sz w:val="20"/>
          <w:szCs w:val="20"/>
          <w:lang w:eastAsia="zh-CN"/>
        </w:rPr>
        <w:t>.</w:t>
      </w:r>
    </w:p>
    <w:p w14:paraId="0E57E03F" w14:textId="77777777" w:rsidR="008C3D7E" w:rsidRDefault="008C3D7E" w:rsidP="008C3D7E">
      <w:pPr>
        <w:spacing w:after="0" w:line="240" w:lineRule="auto"/>
        <w:rPr>
          <w:rFonts w:ascii="Century Gothic" w:eastAsia="Gulim" w:hAnsi="Century Gothic" w:cs="Lucida Sans Unicode"/>
        </w:rPr>
      </w:pPr>
    </w:p>
    <w:p w14:paraId="02D8994F" w14:textId="77777777" w:rsidR="00055D18" w:rsidRPr="008C3D7E" w:rsidRDefault="00055D18"/>
    <w:sectPr w:rsidR="00055D18" w:rsidRPr="008C3D7E" w:rsidSect="007D64E2">
      <w:pgSz w:w="11906" w:h="16838"/>
      <w:pgMar w:top="1417" w:right="1417" w:bottom="1417" w:left="141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82D"/>
    <w:multiLevelType w:val="hybridMultilevel"/>
    <w:tmpl w:val="DC72B538"/>
    <w:lvl w:ilvl="0" w:tplc="C144E2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03063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emical Society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D64E2"/>
    <w:rsid w:val="00055D18"/>
    <w:rsid w:val="00097AB8"/>
    <w:rsid w:val="001D35F3"/>
    <w:rsid w:val="006D5F88"/>
    <w:rsid w:val="007125BE"/>
    <w:rsid w:val="007D64E2"/>
    <w:rsid w:val="008C3D7E"/>
    <w:rsid w:val="009B0F22"/>
    <w:rsid w:val="00AA36E3"/>
    <w:rsid w:val="00B82E73"/>
    <w:rsid w:val="00D64FD0"/>
    <w:rsid w:val="00F90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65BB5D"/>
  <w15:chartTrackingRefBased/>
  <w15:docId w15:val="{2CE13143-04B8-4601-9903-D96B5773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BZ"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7E"/>
    <w:pPr>
      <w:autoSpaceDN w:val="0"/>
      <w:spacing w:after="200" w:line="276" w:lineRule="auto"/>
      <w:jc w:val="both"/>
    </w:pPr>
    <w:rPr>
      <w:rFonts w:ascii="Calibri" w:hAnsi="Calibri" w:cs="Calibr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D7E"/>
    <w:rPr>
      <w:color w:val="0000FF"/>
      <w:u w:val="single"/>
    </w:rPr>
  </w:style>
  <w:style w:type="paragraph" w:styleId="ListParagraph">
    <w:name w:val="List Paragraph"/>
    <w:basedOn w:val="Normal"/>
    <w:uiPriority w:val="34"/>
    <w:qFormat/>
    <w:rsid w:val="008C3D7E"/>
    <w:pPr>
      <w:autoSpaceDN/>
      <w:ind w:left="720"/>
      <w:contextualSpacing/>
      <w:jc w:val="left"/>
    </w:pPr>
    <w:rPr>
      <w:rFonts w:eastAsia="DengXian" w:cs="Times New Roman"/>
      <w:lang w:val="en-GB"/>
    </w:rPr>
  </w:style>
  <w:style w:type="character" w:styleId="UnresolvedMention">
    <w:name w:val="Unresolved Mention"/>
    <w:basedOn w:val="DefaultParagraphFont"/>
    <w:uiPriority w:val="99"/>
    <w:semiHidden/>
    <w:unhideWhenUsed/>
    <w:rsid w:val="008C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5367">
      <w:bodyDiv w:val="1"/>
      <w:marLeft w:val="0"/>
      <w:marRight w:val="0"/>
      <w:marTop w:val="0"/>
      <w:marBottom w:val="0"/>
      <w:divBdr>
        <w:top w:val="none" w:sz="0" w:space="0" w:color="auto"/>
        <w:left w:val="none" w:sz="0" w:space="0" w:color="auto"/>
        <w:bottom w:val="none" w:sz="0" w:space="0" w:color="auto"/>
        <w:right w:val="none" w:sz="0" w:space="0" w:color="auto"/>
      </w:divBdr>
    </w:div>
    <w:div w:id="2436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f.schneider@chem.leidenuniv.nl" TargetMode="External"/><Relationship Id="rId5" Type="http://schemas.openxmlformats.org/officeDocument/2006/relationships/hyperlink" Target="mailto:x.kang@lic.leidenuniv.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1531</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Universiteit Leiden ISSC</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X. (Xiaofang)</dc:creator>
  <cp:keywords/>
  <dc:description/>
  <cp:lastModifiedBy>Kang, X. (Xiaofang)</cp:lastModifiedBy>
  <cp:revision>3</cp:revision>
  <dcterms:created xsi:type="dcterms:W3CDTF">2024-05-03T14:26:00Z</dcterms:created>
  <dcterms:modified xsi:type="dcterms:W3CDTF">2024-05-03T14:26:00Z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a664781dfe55d8c56959bf3c95434dfb7bfe720a27c540f728a4f58832d9c705</vt:lpwstr>
  </property>
</Properties>
</file>